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8E" w:rsidRPr="00BF6A2E" w:rsidRDefault="00263A22" w:rsidP="003D526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CONVENTION DE PARTAGE DES LOCAUX</w:t>
      </w:r>
    </w:p>
    <w:p w:rsidR="003D526E" w:rsidRPr="00BF6A2E" w:rsidRDefault="003D526E" w:rsidP="003D526E">
      <w:pPr>
        <w:jc w:val="center"/>
        <w:rPr>
          <w:rFonts w:ascii="Verdana" w:hAnsi="Verdana"/>
          <w:b/>
        </w:rPr>
      </w:pPr>
    </w:p>
    <w:p w:rsidR="006D0F4F" w:rsidRPr="00BF6A2E" w:rsidRDefault="006D0F4F">
      <w:pPr>
        <w:rPr>
          <w:rFonts w:ascii="Verdana" w:hAnsi="Verdana"/>
        </w:rPr>
      </w:pPr>
    </w:p>
    <w:p w:rsidR="006D0F4F" w:rsidRPr="00BF6A2E" w:rsidRDefault="006D0F4F">
      <w:pPr>
        <w:rPr>
          <w:rFonts w:ascii="Verdana" w:hAnsi="Verdana"/>
        </w:rPr>
      </w:pPr>
      <w:r w:rsidRPr="00BF6A2E">
        <w:rPr>
          <w:rFonts w:ascii="Verdana" w:hAnsi="Verdana"/>
        </w:rPr>
        <w:t>Entre les soussignés :</w:t>
      </w:r>
    </w:p>
    <w:p w:rsidR="00DC0DE7" w:rsidRPr="00BF6A2E" w:rsidRDefault="00953DCB" w:rsidP="00DC0DE7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D’une part l’occupant principal </w:t>
      </w:r>
      <w:r w:rsidR="006D0F4F" w:rsidRPr="00BF6A2E">
        <w:rPr>
          <w:rFonts w:ascii="Verdana" w:hAnsi="Verdana"/>
        </w:rPr>
        <w:t xml:space="preserve">: </w:t>
      </w:r>
    </w:p>
    <w:p w:rsidR="006D0F4F" w:rsidRDefault="006D0F4F" w:rsidP="00CA3D87">
      <w:pPr>
        <w:spacing w:after="60"/>
        <w:rPr>
          <w:rFonts w:ascii="Verdana" w:hAnsi="Verdana"/>
        </w:rPr>
      </w:pPr>
      <w:r w:rsidRPr="00BF6A2E">
        <w:rPr>
          <w:rFonts w:ascii="Verdana" w:hAnsi="Verdana"/>
          <w:b/>
        </w:rPr>
        <w:t>Association 4D - Dossiers et Débats pour le Développement Durable, dite 4D</w:t>
      </w:r>
      <w:r w:rsidRPr="00BF6A2E">
        <w:rPr>
          <w:rFonts w:ascii="Verdana" w:hAnsi="Verdana"/>
        </w:rPr>
        <w:t xml:space="preserve"> sise 150/154, rue du faubourg Saint Martin – 75010 PARIS, représentée par Pierre RADANNE, Président,</w:t>
      </w:r>
    </w:p>
    <w:p w:rsidR="00CA3D87" w:rsidRPr="00BF6A2E" w:rsidRDefault="00CA3D87" w:rsidP="00CA3D87">
      <w:pPr>
        <w:spacing w:after="60"/>
        <w:rPr>
          <w:rFonts w:ascii="Verdana" w:hAnsi="Verdana"/>
        </w:rPr>
      </w:pPr>
    </w:p>
    <w:p w:rsidR="00DC0DE7" w:rsidRPr="00BF6A2E" w:rsidRDefault="00953DCB" w:rsidP="00DC0DE7">
      <w:pPr>
        <w:spacing w:after="0"/>
        <w:rPr>
          <w:rFonts w:ascii="Verdana" w:hAnsi="Verdana"/>
        </w:rPr>
      </w:pPr>
      <w:r>
        <w:rPr>
          <w:rFonts w:ascii="Verdana" w:hAnsi="Verdana"/>
        </w:rPr>
        <w:t>D’autre part, l’occupant supplémentaire</w:t>
      </w:r>
      <w:r w:rsidR="006D0F4F" w:rsidRPr="00BF6A2E">
        <w:rPr>
          <w:rFonts w:ascii="Verdana" w:hAnsi="Verdana"/>
        </w:rPr>
        <w:t xml:space="preserve"> : </w:t>
      </w:r>
    </w:p>
    <w:p w:rsidR="00BF6A2E" w:rsidRPr="00F50C4A" w:rsidRDefault="00F50C4A" w:rsidP="00CA3D87">
      <w:pPr>
        <w:spacing w:after="60"/>
        <w:rPr>
          <w:rFonts w:ascii="Verdana" w:hAnsi="Verdana"/>
          <w:color w:val="FF0000"/>
        </w:rPr>
      </w:pPr>
      <w:r w:rsidRPr="00857B09">
        <w:rPr>
          <w:rFonts w:ascii="Verdana" w:hAnsi="Verdana"/>
          <w:b/>
        </w:rPr>
        <w:t>UNADEL</w:t>
      </w:r>
      <w:r w:rsidR="00DC0DE7" w:rsidRPr="00857B09">
        <w:rPr>
          <w:rFonts w:ascii="Verdana" w:hAnsi="Verdana"/>
        </w:rPr>
        <w:t>, représenté</w:t>
      </w:r>
      <w:r w:rsidR="00857B09" w:rsidRPr="00857B09">
        <w:rPr>
          <w:rFonts w:ascii="Verdana" w:hAnsi="Verdana"/>
        </w:rPr>
        <w:t xml:space="preserve"> par Claude </w:t>
      </w:r>
      <w:proofErr w:type="spellStart"/>
      <w:r w:rsidR="00857B09" w:rsidRPr="00857B09">
        <w:rPr>
          <w:rFonts w:ascii="Verdana" w:hAnsi="Verdana"/>
        </w:rPr>
        <w:t>Grivel</w:t>
      </w:r>
      <w:proofErr w:type="spellEnd"/>
      <w:r w:rsidR="00857B09" w:rsidRPr="00857B09">
        <w:rPr>
          <w:rFonts w:ascii="Verdana" w:hAnsi="Verdana"/>
        </w:rPr>
        <w:t>, Président</w:t>
      </w:r>
    </w:p>
    <w:p w:rsidR="00CA3D87" w:rsidRPr="004A2A8A" w:rsidRDefault="00CA3D87" w:rsidP="00CA3D87">
      <w:pPr>
        <w:spacing w:after="60"/>
        <w:rPr>
          <w:rFonts w:ascii="Verdana" w:hAnsi="Verdana"/>
          <w:b/>
        </w:rPr>
      </w:pPr>
    </w:p>
    <w:p w:rsidR="004A2A8A" w:rsidRPr="004A2A8A" w:rsidRDefault="004A2A8A" w:rsidP="00CA3D87">
      <w:pPr>
        <w:spacing w:after="60"/>
        <w:rPr>
          <w:rFonts w:ascii="Verdana" w:hAnsi="Verdana"/>
          <w:b/>
        </w:rPr>
      </w:pPr>
      <w:r w:rsidRPr="004A2A8A">
        <w:rPr>
          <w:rFonts w:ascii="Verdana" w:hAnsi="Verdana"/>
          <w:b/>
        </w:rPr>
        <w:t>Préambule :</w:t>
      </w:r>
    </w:p>
    <w:p w:rsidR="004A2A8A" w:rsidRDefault="004A2A8A" w:rsidP="00CA3D87">
      <w:pPr>
        <w:spacing w:after="60"/>
        <w:rPr>
          <w:rFonts w:ascii="Verdana" w:hAnsi="Verdana"/>
        </w:rPr>
      </w:pPr>
      <w:r>
        <w:rPr>
          <w:rFonts w:ascii="Verdana" w:hAnsi="Verdana"/>
        </w:rPr>
        <w:t>L’association 4D, Dossiers et Débats pour le Développement Durable, occupe les locaux au 150-154 rue du Faubourg Saint Mart</w:t>
      </w:r>
      <w:r w:rsidR="006059F3">
        <w:rPr>
          <w:rFonts w:ascii="Verdana" w:hAnsi="Verdana"/>
        </w:rPr>
        <w:t>in</w:t>
      </w:r>
      <w:r>
        <w:rPr>
          <w:rFonts w:ascii="Verdana" w:hAnsi="Verdana"/>
        </w:rPr>
        <w:t xml:space="preserve"> – 75010 Paris, </w:t>
      </w:r>
      <w:r w:rsidR="006475A9" w:rsidRPr="006475A9">
        <w:rPr>
          <w:rFonts w:ascii="Verdana" w:hAnsi="Verdana"/>
          <w:highlight w:val="yellow"/>
        </w:rPr>
        <w:t>d’une superficie de  ……………………… selon un bail ……………………….. </w:t>
      </w:r>
      <w:proofErr w:type="gramStart"/>
      <w:r w:rsidR="006475A9" w:rsidRPr="006475A9">
        <w:rPr>
          <w:rFonts w:ascii="Verdana" w:hAnsi="Verdana"/>
          <w:highlight w:val="yellow"/>
        </w:rPr>
        <w:t>d’une</w:t>
      </w:r>
      <w:proofErr w:type="gramEnd"/>
      <w:r w:rsidR="006475A9" w:rsidRPr="006475A9">
        <w:rPr>
          <w:rFonts w:ascii="Verdana" w:hAnsi="Verdana"/>
          <w:highlight w:val="yellow"/>
        </w:rPr>
        <w:t xml:space="preserve"> durée de …………………….. </w:t>
      </w:r>
      <w:proofErr w:type="gramStart"/>
      <w:r w:rsidR="006475A9" w:rsidRPr="006475A9">
        <w:rPr>
          <w:rFonts w:ascii="Verdana" w:hAnsi="Verdana"/>
          <w:highlight w:val="yellow"/>
        </w:rPr>
        <w:t>signé</w:t>
      </w:r>
      <w:proofErr w:type="gramEnd"/>
      <w:r w:rsidR="006475A9" w:rsidRPr="006475A9">
        <w:rPr>
          <w:rFonts w:ascii="Verdana" w:hAnsi="Verdana"/>
          <w:highlight w:val="yellow"/>
        </w:rPr>
        <w:t xml:space="preserve"> en date de …………………………………</w:t>
      </w:r>
    </w:p>
    <w:p w:rsidR="004A2A8A" w:rsidRPr="006475A9" w:rsidRDefault="006475A9" w:rsidP="006475A9">
      <w:pPr>
        <w:spacing w:after="60"/>
        <w:rPr>
          <w:rFonts w:ascii="Verdana" w:hAnsi="Verdana"/>
        </w:rPr>
      </w:pPr>
      <w:r>
        <w:rPr>
          <w:rFonts w:ascii="Verdana" w:hAnsi="Verdana"/>
        </w:rPr>
        <w:t>L’association 4D et l’</w:t>
      </w:r>
      <w:proofErr w:type="spellStart"/>
      <w:r>
        <w:rPr>
          <w:rFonts w:ascii="Verdana" w:hAnsi="Verdana"/>
        </w:rPr>
        <w:t>Unadel</w:t>
      </w:r>
      <w:proofErr w:type="spellEnd"/>
      <w:r>
        <w:rPr>
          <w:rFonts w:ascii="Verdana" w:hAnsi="Verdana"/>
        </w:rPr>
        <w:t xml:space="preserve"> décident de signer entre elles une convention de partage des locaux.</w:t>
      </w:r>
    </w:p>
    <w:p w:rsidR="004A2A8A" w:rsidRDefault="004A2A8A" w:rsidP="00CA3D87">
      <w:pPr>
        <w:spacing w:after="0"/>
        <w:rPr>
          <w:rFonts w:ascii="Verdana" w:hAnsi="Verdana"/>
          <w:b/>
        </w:rPr>
      </w:pPr>
    </w:p>
    <w:p w:rsidR="00CA3D87" w:rsidRDefault="00DC0DE7" w:rsidP="00CA3D87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1</w:t>
      </w:r>
      <w:r w:rsidRPr="00BF6A2E">
        <w:rPr>
          <w:rFonts w:ascii="Verdana" w:hAnsi="Verdana"/>
          <w:b/>
          <w:vertAlign w:val="superscript"/>
        </w:rPr>
        <w:t>er</w:t>
      </w:r>
      <w:r w:rsidRPr="00BF6A2E">
        <w:rPr>
          <w:rFonts w:ascii="Verdana" w:hAnsi="Verdana"/>
          <w:b/>
        </w:rPr>
        <w:t xml:space="preserve"> : Objet </w:t>
      </w:r>
    </w:p>
    <w:p w:rsidR="00DC0DE7" w:rsidRPr="00BF6A2E" w:rsidRDefault="00DC0DE7">
      <w:pPr>
        <w:rPr>
          <w:rFonts w:ascii="Verdana" w:hAnsi="Verdana"/>
          <w:b/>
        </w:rPr>
      </w:pPr>
      <w:r w:rsidRPr="00BF6A2E">
        <w:rPr>
          <w:rFonts w:ascii="Verdana" w:hAnsi="Verdana"/>
        </w:rPr>
        <w:t>Il</w:t>
      </w:r>
      <w:r w:rsidR="00953DCB">
        <w:rPr>
          <w:rFonts w:ascii="Verdana" w:hAnsi="Verdana"/>
        </w:rPr>
        <w:t xml:space="preserve"> est passé entre les parties une convention de partage des locaux au terme duquel l’occupant supplémentaire susm</w:t>
      </w:r>
      <w:r w:rsidR="00953DCB" w:rsidRPr="00BF6A2E">
        <w:rPr>
          <w:rFonts w:ascii="Verdana" w:hAnsi="Verdana"/>
        </w:rPr>
        <w:t>entionné</w:t>
      </w:r>
      <w:r w:rsidRPr="00BF6A2E">
        <w:rPr>
          <w:rFonts w:ascii="Verdana" w:hAnsi="Verdana"/>
        </w:rPr>
        <w:t xml:space="preserve"> bénéficie d’un espace de travail auprès de </w:t>
      </w:r>
      <w:r w:rsidR="00327B01" w:rsidRPr="00BF6A2E">
        <w:rPr>
          <w:rFonts w:ascii="Verdana" w:hAnsi="Verdana"/>
        </w:rPr>
        <w:t xml:space="preserve">l’association </w:t>
      </w:r>
      <w:r w:rsidRPr="00BF6A2E">
        <w:rPr>
          <w:rFonts w:ascii="Verdana" w:hAnsi="Verdana"/>
        </w:rPr>
        <w:t>4D – Dossiers et Débats pour le Développement Durable</w:t>
      </w:r>
      <w:r w:rsidR="00327B01" w:rsidRPr="00BF6A2E">
        <w:rPr>
          <w:rFonts w:ascii="Verdana" w:hAnsi="Verdana"/>
        </w:rPr>
        <w:t xml:space="preserve">. </w:t>
      </w:r>
    </w:p>
    <w:p w:rsidR="00327B01" w:rsidRPr="00BF6A2E" w:rsidRDefault="00327B01">
      <w:pPr>
        <w:rPr>
          <w:rFonts w:ascii="Verdana" w:hAnsi="Verdana"/>
        </w:rPr>
      </w:pPr>
      <w:r w:rsidRPr="00BF6A2E">
        <w:rPr>
          <w:rFonts w:ascii="Verdana" w:hAnsi="Verdana"/>
        </w:rPr>
        <w:t>Par les présentes, les parties souscrivant un contrat au terme duquel la partie preneuse</w:t>
      </w:r>
      <w:r w:rsidR="00953DCB">
        <w:rPr>
          <w:rFonts w:ascii="Verdana" w:hAnsi="Verdana"/>
        </w:rPr>
        <w:t>,</w:t>
      </w:r>
      <w:r w:rsidRPr="00BF6A2E">
        <w:rPr>
          <w:rFonts w:ascii="Verdana" w:hAnsi="Verdana"/>
        </w:rPr>
        <w:t xml:space="preserve"> </w:t>
      </w:r>
      <w:r w:rsidR="00953DCB">
        <w:rPr>
          <w:rFonts w:ascii="Verdana" w:hAnsi="Verdana"/>
        </w:rPr>
        <w:t>l’occupant principal, sollicite de l’occupant supplémentaire</w:t>
      </w:r>
      <w:r w:rsidRPr="00BF6A2E">
        <w:rPr>
          <w:rFonts w:ascii="Verdana" w:hAnsi="Verdana"/>
        </w:rPr>
        <w:t xml:space="preserve"> la prestation sous les charges et les conditions mentionnées ci-après :</w:t>
      </w:r>
    </w:p>
    <w:p w:rsidR="00327B01" w:rsidRPr="00BF6A2E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 xml:space="preserve">La mise à disposition d’un espace de travail vide de </w:t>
      </w:r>
      <w:r w:rsidR="00147D98">
        <w:rPr>
          <w:rFonts w:ascii="Verdana" w:hAnsi="Verdana"/>
        </w:rPr>
        <w:t>2</w:t>
      </w:r>
      <w:r w:rsidR="00F50C4A">
        <w:rPr>
          <w:rFonts w:ascii="Verdana" w:hAnsi="Verdana"/>
        </w:rPr>
        <w:t>0</w:t>
      </w:r>
      <w:r w:rsidR="008A7945">
        <w:rPr>
          <w:rFonts w:ascii="Verdana" w:hAnsi="Verdana"/>
        </w:rPr>
        <w:t>m²</w:t>
      </w:r>
      <w:r w:rsidR="00F50C4A">
        <w:rPr>
          <w:rFonts w:ascii="Verdana" w:hAnsi="Verdana"/>
        </w:rPr>
        <w:t>,</w:t>
      </w:r>
    </w:p>
    <w:p w:rsidR="00DB0B7B" w:rsidRDefault="00DB0B7B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Trois </w:t>
      </w:r>
      <w:r w:rsidR="00F50C4A">
        <w:rPr>
          <w:rFonts w:ascii="Verdana" w:hAnsi="Verdana"/>
        </w:rPr>
        <w:t xml:space="preserve">accès </w:t>
      </w:r>
      <w:r w:rsidR="00953DCB">
        <w:rPr>
          <w:rFonts w:ascii="Verdana" w:hAnsi="Verdana"/>
        </w:rPr>
        <w:t>internet, mise en r</w:t>
      </w:r>
      <w:r w:rsidR="00AE5233">
        <w:rPr>
          <w:rFonts w:ascii="Verdana" w:hAnsi="Verdana"/>
        </w:rPr>
        <w:t xml:space="preserve">éseau </w:t>
      </w:r>
      <w:r w:rsidR="00953DCB">
        <w:rPr>
          <w:rFonts w:ascii="Verdana" w:hAnsi="Verdana"/>
        </w:rPr>
        <w:t>avec la</w:t>
      </w:r>
      <w:r>
        <w:rPr>
          <w:rFonts w:ascii="Verdana" w:hAnsi="Verdana"/>
        </w:rPr>
        <w:t xml:space="preserve"> photocopieuse,</w:t>
      </w:r>
      <w:r w:rsidR="00AE5233">
        <w:rPr>
          <w:rFonts w:ascii="Verdana" w:hAnsi="Verdana"/>
        </w:rPr>
        <w:t xml:space="preserve"> </w:t>
      </w:r>
      <w:r w:rsidR="00953DCB">
        <w:rPr>
          <w:rFonts w:ascii="Verdana" w:hAnsi="Verdana"/>
        </w:rPr>
        <w:t>l’</w:t>
      </w:r>
      <w:r w:rsidR="00AE5233">
        <w:rPr>
          <w:rFonts w:ascii="Verdana" w:hAnsi="Verdana"/>
        </w:rPr>
        <w:t>imprimante,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scanner</w:t>
      </w:r>
      <w:proofErr w:type="gramEnd"/>
      <w:r w:rsidR="00F50C4A">
        <w:rPr>
          <w:rFonts w:ascii="Verdana" w:hAnsi="Verdana"/>
        </w:rPr>
        <w:t>,</w:t>
      </w:r>
    </w:p>
    <w:p w:rsidR="00327B01" w:rsidRPr="00BF6A2E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>L’électricité et le chauffage</w:t>
      </w:r>
      <w:r w:rsidR="00F50C4A">
        <w:rPr>
          <w:rFonts w:ascii="Verdana" w:hAnsi="Verdana"/>
        </w:rPr>
        <w:t>,</w:t>
      </w:r>
    </w:p>
    <w:p w:rsidR="00327B01" w:rsidRPr="00BF6A2E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>La réception des courriers,</w:t>
      </w:r>
    </w:p>
    <w:p w:rsidR="00327B01" w:rsidRPr="00BF6A2E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 xml:space="preserve">L’utilisation des espaces communs (sanitaires, salle de réunion, </w:t>
      </w:r>
      <w:r w:rsidR="00F50C4A">
        <w:rPr>
          <w:rFonts w:ascii="Verdana" w:hAnsi="Verdana"/>
        </w:rPr>
        <w:t xml:space="preserve">ordinateurs de la salle de réunion </w:t>
      </w:r>
      <w:r w:rsidRPr="00BF6A2E">
        <w:rPr>
          <w:rFonts w:ascii="Verdana" w:hAnsi="Verdana"/>
        </w:rPr>
        <w:t>etc</w:t>
      </w:r>
      <w:r w:rsidR="00CA3D87">
        <w:rPr>
          <w:rFonts w:ascii="Verdana" w:hAnsi="Verdana"/>
        </w:rPr>
        <w:t>.</w:t>
      </w:r>
      <w:r w:rsidRPr="00BF6A2E">
        <w:rPr>
          <w:rFonts w:ascii="Verdana" w:hAnsi="Verdana"/>
        </w:rPr>
        <w:t>)</w:t>
      </w:r>
      <w:r w:rsidR="00F50C4A">
        <w:rPr>
          <w:rFonts w:ascii="Verdana" w:hAnsi="Verdana"/>
        </w:rPr>
        <w:t>,</w:t>
      </w:r>
    </w:p>
    <w:p w:rsidR="00327B01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>Le nettoyage</w:t>
      </w:r>
      <w:r w:rsidR="00F50C4A">
        <w:rPr>
          <w:rFonts w:ascii="Verdana" w:hAnsi="Verdana"/>
        </w:rPr>
        <w:t>,</w:t>
      </w:r>
      <w:r w:rsidRPr="00BF6A2E">
        <w:rPr>
          <w:rFonts w:ascii="Verdana" w:hAnsi="Verdana"/>
        </w:rPr>
        <w:t xml:space="preserve"> </w:t>
      </w:r>
    </w:p>
    <w:p w:rsidR="00F50C4A" w:rsidRDefault="00F50C4A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Mobiliers tels que fauteuils, étagères, chaises, tables</w:t>
      </w:r>
    </w:p>
    <w:p w:rsidR="00DB0B7B" w:rsidRPr="00BF6A2E" w:rsidRDefault="00DB0B7B" w:rsidP="00DB0B7B">
      <w:pPr>
        <w:pStyle w:val="Paragraphedeliste"/>
        <w:rPr>
          <w:rFonts w:ascii="Verdana" w:hAnsi="Verdana"/>
        </w:rPr>
      </w:pPr>
    </w:p>
    <w:p w:rsidR="00327B01" w:rsidRPr="00BF6A2E" w:rsidRDefault="00327B01" w:rsidP="00327B01">
      <w:pPr>
        <w:rPr>
          <w:rFonts w:ascii="Verdana" w:hAnsi="Verdana"/>
        </w:rPr>
      </w:pPr>
      <w:r w:rsidRPr="00BF6A2E">
        <w:rPr>
          <w:rFonts w:ascii="Verdana" w:hAnsi="Verdana"/>
        </w:rPr>
        <w:t>Il ne comprend pas :</w:t>
      </w:r>
    </w:p>
    <w:p w:rsidR="00DB0B7B" w:rsidRDefault="00327B01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BF6A2E">
        <w:rPr>
          <w:rFonts w:ascii="Verdana" w:hAnsi="Verdana"/>
        </w:rPr>
        <w:t>Les frais d’affranchissement</w:t>
      </w:r>
      <w:r w:rsidR="00DB0B7B">
        <w:rPr>
          <w:rFonts w:ascii="Verdana" w:hAnsi="Verdana"/>
        </w:rPr>
        <w:t xml:space="preserve">, </w:t>
      </w:r>
    </w:p>
    <w:p w:rsidR="00327B01" w:rsidRDefault="00DB0B7B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Les consommables (papiers, fournitures de bur</w:t>
      </w:r>
      <w:r w:rsidR="00F50C4A">
        <w:rPr>
          <w:rFonts w:ascii="Verdana" w:hAnsi="Verdana"/>
        </w:rPr>
        <w:t>e</w:t>
      </w:r>
      <w:r>
        <w:rPr>
          <w:rFonts w:ascii="Verdana" w:hAnsi="Verdana"/>
        </w:rPr>
        <w:t>au..</w:t>
      </w:r>
      <w:r w:rsidR="00327B01" w:rsidRPr="00BF6A2E">
        <w:rPr>
          <w:rFonts w:ascii="Verdana" w:hAnsi="Verdana"/>
        </w:rPr>
        <w:t>.</w:t>
      </w:r>
      <w:r>
        <w:rPr>
          <w:rFonts w:ascii="Verdana" w:hAnsi="Verdana"/>
        </w:rPr>
        <w:t>)</w:t>
      </w:r>
    </w:p>
    <w:p w:rsidR="00F50C4A" w:rsidRDefault="00F50C4A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Les ordinateurs</w:t>
      </w:r>
    </w:p>
    <w:p w:rsidR="00857B09" w:rsidRDefault="00857B09" w:rsidP="00327B01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Les communications téléphoniques</w:t>
      </w:r>
    </w:p>
    <w:p w:rsidR="00CA3D87" w:rsidRPr="00BF6A2E" w:rsidRDefault="00CA3D87" w:rsidP="00147D98">
      <w:pPr>
        <w:pStyle w:val="Paragraphedeliste"/>
        <w:rPr>
          <w:rFonts w:ascii="Verdana" w:hAnsi="Verdana"/>
        </w:rPr>
      </w:pPr>
    </w:p>
    <w:p w:rsidR="00CA3D87" w:rsidRDefault="00327B01" w:rsidP="00CA3D87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lastRenderedPageBreak/>
        <w:t>Article 2 -  Loyers et prestations</w:t>
      </w:r>
    </w:p>
    <w:p w:rsidR="00327B01" w:rsidRDefault="00327B01" w:rsidP="00327B01">
      <w:pPr>
        <w:rPr>
          <w:rFonts w:ascii="Verdana" w:hAnsi="Verdana"/>
        </w:rPr>
      </w:pPr>
      <w:r w:rsidRPr="00BF6A2E">
        <w:rPr>
          <w:rFonts w:ascii="Verdana" w:hAnsi="Verdana"/>
        </w:rPr>
        <w:t xml:space="preserve">L’espace de travail est mis à disposition pour un </w:t>
      </w:r>
      <w:r w:rsidRPr="008A7945">
        <w:rPr>
          <w:rFonts w:ascii="Verdana" w:hAnsi="Verdana"/>
        </w:rPr>
        <w:t xml:space="preserve">loyer de </w:t>
      </w:r>
      <w:r w:rsidR="00857B09">
        <w:rPr>
          <w:rFonts w:ascii="Verdana" w:hAnsi="Verdana"/>
        </w:rPr>
        <w:t>950</w:t>
      </w:r>
      <w:r w:rsidRPr="008A7945">
        <w:rPr>
          <w:rFonts w:ascii="Verdana" w:hAnsi="Verdana"/>
        </w:rPr>
        <w:t>€ </w:t>
      </w:r>
      <w:r w:rsidR="008A7945">
        <w:rPr>
          <w:rFonts w:ascii="Verdana" w:hAnsi="Verdana"/>
        </w:rPr>
        <w:t>/mois</w:t>
      </w:r>
      <w:r w:rsidR="009B34BC">
        <w:rPr>
          <w:rFonts w:ascii="Verdana" w:hAnsi="Verdana"/>
        </w:rPr>
        <w:t>, à verser mensuellement le 1</w:t>
      </w:r>
      <w:r w:rsidR="009B34BC" w:rsidRPr="009B34BC">
        <w:rPr>
          <w:rFonts w:ascii="Verdana" w:hAnsi="Verdana"/>
          <w:vertAlign w:val="superscript"/>
        </w:rPr>
        <w:t>er</w:t>
      </w:r>
      <w:r w:rsidR="009B34BC">
        <w:rPr>
          <w:rFonts w:ascii="Verdana" w:hAnsi="Verdana"/>
        </w:rPr>
        <w:t xml:space="preserve"> jour du mois. </w:t>
      </w:r>
      <w:r w:rsidR="008A7945">
        <w:rPr>
          <w:rFonts w:ascii="Verdana" w:hAnsi="Verdana"/>
        </w:rPr>
        <w:t xml:space="preserve"> </w:t>
      </w:r>
      <w:r w:rsidRPr="00BF6A2E">
        <w:rPr>
          <w:rFonts w:ascii="Verdana" w:hAnsi="Verdana"/>
        </w:rPr>
        <w:t xml:space="preserve"> </w:t>
      </w:r>
    </w:p>
    <w:p w:rsidR="00857B09" w:rsidRPr="006475A9" w:rsidRDefault="00857B09" w:rsidP="00327B01">
      <w:pPr>
        <w:rPr>
          <w:rFonts w:ascii="Verdana" w:hAnsi="Verdana"/>
        </w:rPr>
      </w:pPr>
      <w:r>
        <w:rPr>
          <w:rFonts w:ascii="Verdana" w:hAnsi="Verdana"/>
        </w:rPr>
        <w:t>Un avenant précisera le forfait communication</w:t>
      </w:r>
      <w:r w:rsidR="00953DCB">
        <w:rPr>
          <w:rFonts w:ascii="Verdana" w:hAnsi="Verdana"/>
        </w:rPr>
        <w:t>, lorsque celui-ci sera précisé</w:t>
      </w:r>
      <w:r>
        <w:rPr>
          <w:rFonts w:ascii="Verdana" w:hAnsi="Verdana"/>
        </w:rPr>
        <w:t xml:space="preserve"> entre le</w:t>
      </w:r>
      <w:r w:rsidR="00953DCB">
        <w:rPr>
          <w:rFonts w:ascii="Verdana" w:hAnsi="Verdana"/>
        </w:rPr>
        <w:t>s parties.</w:t>
      </w:r>
      <w:r>
        <w:rPr>
          <w:rFonts w:ascii="Verdana" w:hAnsi="Verdana"/>
        </w:rPr>
        <w:t xml:space="preserve"> </w:t>
      </w:r>
    </w:p>
    <w:p w:rsidR="00327B01" w:rsidRPr="00BF6A2E" w:rsidRDefault="00327B01" w:rsidP="00327B01">
      <w:pPr>
        <w:rPr>
          <w:rFonts w:ascii="Verdana" w:hAnsi="Verdana"/>
        </w:rPr>
      </w:pPr>
      <w:r w:rsidRPr="00BF6A2E">
        <w:rPr>
          <w:rFonts w:ascii="Verdana" w:hAnsi="Verdana"/>
        </w:rPr>
        <w:t xml:space="preserve">Pour ce qui concerne les clés, il est remis </w:t>
      </w:r>
      <w:r w:rsidR="00953DCB">
        <w:rPr>
          <w:rFonts w:ascii="Verdana" w:hAnsi="Verdana"/>
        </w:rPr>
        <w:t>à l’occupant supplémentaire</w:t>
      </w:r>
      <w:r w:rsidR="00953DCB" w:rsidRPr="00BF6A2E">
        <w:rPr>
          <w:rFonts w:ascii="Verdana" w:hAnsi="Verdana"/>
        </w:rPr>
        <w:t xml:space="preserve">  </w:t>
      </w:r>
      <w:r w:rsidRPr="00BF6A2E">
        <w:rPr>
          <w:rFonts w:ascii="Verdana" w:hAnsi="Verdana"/>
        </w:rPr>
        <w:t>une clé de la porte d’</w:t>
      </w:r>
      <w:r w:rsidR="00BB30F7" w:rsidRPr="00BF6A2E">
        <w:rPr>
          <w:rFonts w:ascii="Verdana" w:hAnsi="Verdana"/>
        </w:rPr>
        <w:t xml:space="preserve">entrée des locaux et une clé </w:t>
      </w:r>
      <w:r w:rsidRPr="00BF6A2E">
        <w:rPr>
          <w:rFonts w:ascii="Verdana" w:hAnsi="Verdana"/>
        </w:rPr>
        <w:t>de la salle où est situé l’espace de</w:t>
      </w:r>
      <w:r w:rsidR="00BB30F7" w:rsidRPr="00BF6A2E">
        <w:rPr>
          <w:rFonts w:ascii="Verdana" w:hAnsi="Verdana"/>
        </w:rPr>
        <w:t xml:space="preserve"> travail qui est mis à sa disposition. </w:t>
      </w:r>
      <w:r w:rsidR="00CA3D87">
        <w:rPr>
          <w:rFonts w:ascii="Verdana" w:hAnsi="Verdana"/>
        </w:rPr>
        <w:t>Celles-ci seront restituées en cas de rupture de contrat.</w:t>
      </w:r>
    </w:p>
    <w:p w:rsidR="00BB30F7" w:rsidRDefault="00BB30F7" w:rsidP="00327B01">
      <w:pPr>
        <w:rPr>
          <w:rFonts w:ascii="Verdana" w:hAnsi="Verdana"/>
        </w:rPr>
      </w:pPr>
      <w:r w:rsidRPr="00BF6A2E">
        <w:rPr>
          <w:rFonts w:ascii="Verdana" w:hAnsi="Verdana"/>
        </w:rPr>
        <w:t xml:space="preserve">Le loyer sera révisable </w:t>
      </w:r>
      <w:r w:rsidR="008250A7" w:rsidRPr="00BF6A2E">
        <w:rPr>
          <w:rFonts w:ascii="Verdana" w:hAnsi="Verdana"/>
        </w:rPr>
        <w:t xml:space="preserve">chaque année, dans les </w:t>
      </w:r>
      <w:r w:rsidR="00953DCB">
        <w:rPr>
          <w:rFonts w:ascii="Verdana" w:hAnsi="Verdana"/>
        </w:rPr>
        <w:t>mêmes conditions que le bail de l’occupant principal.</w:t>
      </w:r>
    </w:p>
    <w:p w:rsidR="00CA3D87" w:rsidRDefault="008250A7" w:rsidP="00CA3D87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3 – Durée</w:t>
      </w:r>
    </w:p>
    <w:p w:rsidR="008250A7" w:rsidRDefault="008250A7" w:rsidP="00CA3D87">
      <w:pPr>
        <w:spacing w:after="60"/>
        <w:rPr>
          <w:rFonts w:ascii="Verdana" w:hAnsi="Verdana"/>
        </w:rPr>
      </w:pPr>
      <w:r w:rsidRPr="00BF6A2E">
        <w:rPr>
          <w:rFonts w:ascii="Verdana" w:hAnsi="Verdana"/>
        </w:rPr>
        <w:t xml:space="preserve">Le contrat est consentie et accepté pour une durée d’une année à compter du </w:t>
      </w:r>
      <w:r w:rsidR="00857B09" w:rsidRPr="00857B09">
        <w:rPr>
          <w:rFonts w:ascii="Verdana" w:hAnsi="Verdana"/>
        </w:rPr>
        <w:t>1er août 2014</w:t>
      </w:r>
      <w:r w:rsidR="00F50C4A" w:rsidRPr="00857B09">
        <w:rPr>
          <w:rFonts w:ascii="Verdana" w:hAnsi="Verdana"/>
        </w:rPr>
        <w:t xml:space="preserve"> </w:t>
      </w:r>
      <w:r w:rsidRPr="00BF6A2E">
        <w:rPr>
          <w:rFonts w:ascii="Verdana" w:hAnsi="Verdana"/>
        </w:rPr>
        <w:t>et sera ensuite renouvelable chaque année par tacite recond</w:t>
      </w:r>
      <w:r w:rsidR="00AE5233">
        <w:rPr>
          <w:rFonts w:ascii="Verdana" w:hAnsi="Verdana"/>
        </w:rPr>
        <w:t>uction, sauf dénonciation par l’une des deux parties</w:t>
      </w:r>
      <w:r w:rsidRPr="00BF6A2E">
        <w:rPr>
          <w:rFonts w:ascii="Verdana" w:hAnsi="Verdana"/>
        </w:rPr>
        <w:t>, avec préavis de trois mois, par lettre recommandée avec accusé de réception.</w:t>
      </w:r>
    </w:p>
    <w:p w:rsidR="004A2A8A" w:rsidRDefault="004A2A8A" w:rsidP="00CA3D87">
      <w:pPr>
        <w:spacing w:after="60"/>
        <w:rPr>
          <w:rFonts w:ascii="Verdana" w:hAnsi="Verdana"/>
        </w:rPr>
      </w:pPr>
    </w:p>
    <w:p w:rsidR="004A2A8A" w:rsidRDefault="004A2A8A" w:rsidP="00CA3D87">
      <w:pPr>
        <w:spacing w:after="60"/>
        <w:rPr>
          <w:rFonts w:ascii="Verdana" w:hAnsi="Verdana"/>
        </w:rPr>
      </w:pPr>
      <w:r>
        <w:rPr>
          <w:rFonts w:ascii="Verdana" w:hAnsi="Verdana"/>
        </w:rPr>
        <w:t>Les contractants prévoient de transformer la présente convention en bail de sous location avec accord écrit du propriétaire dans l’annexe de cette convention.</w:t>
      </w:r>
    </w:p>
    <w:p w:rsidR="00CA3D87" w:rsidRDefault="00CA3D87" w:rsidP="00CA3D87">
      <w:pPr>
        <w:spacing w:after="60"/>
        <w:rPr>
          <w:rFonts w:ascii="Verdana" w:hAnsi="Verdana"/>
        </w:rPr>
      </w:pPr>
    </w:p>
    <w:p w:rsidR="00BF6A2E" w:rsidRDefault="008250A7" w:rsidP="00BF6A2E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4 – Etat des lieux</w:t>
      </w:r>
    </w:p>
    <w:p w:rsidR="008250A7" w:rsidRPr="00BF6A2E" w:rsidRDefault="00953DCB" w:rsidP="00327B01">
      <w:pPr>
        <w:rPr>
          <w:rFonts w:ascii="Verdana" w:hAnsi="Verdana"/>
          <w:b/>
        </w:rPr>
      </w:pPr>
      <w:r>
        <w:rPr>
          <w:rFonts w:ascii="Verdana" w:hAnsi="Verdana"/>
        </w:rPr>
        <w:t>L’occupant supplémentaire</w:t>
      </w:r>
      <w:r w:rsidRPr="00BF6A2E">
        <w:rPr>
          <w:rFonts w:ascii="Verdana" w:hAnsi="Verdana"/>
        </w:rPr>
        <w:t> </w:t>
      </w:r>
      <w:r w:rsidR="008250A7" w:rsidRPr="00BF6A2E">
        <w:rPr>
          <w:rFonts w:ascii="Verdana" w:hAnsi="Verdana"/>
        </w:rPr>
        <w:t xml:space="preserve"> s’engage à :</w:t>
      </w:r>
    </w:p>
    <w:p w:rsidR="008250A7" w:rsidRPr="00BF6A2E" w:rsidRDefault="008250A7" w:rsidP="008250A7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BF6A2E">
        <w:rPr>
          <w:rFonts w:ascii="Verdana" w:hAnsi="Verdana"/>
        </w:rPr>
        <w:t>Maintenir les lieux loués en état,</w:t>
      </w:r>
    </w:p>
    <w:p w:rsidR="008250A7" w:rsidRPr="00BF6A2E" w:rsidRDefault="008250A7" w:rsidP="008250A7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BF6A2E">
        <w:rPr>
          <w:rFonts w:ascii="Verdana" w:hAnsi="Verdana"/>
        </w:rPr>
        <w:t xml:space="preserve">Ne faire dans les lieux loués aucune démolition, aucun percement de murs ou cloisons sans le consentement express  et par écrit du </w:t>
      </w:r>
      <w:r w:rsidR="00953DCB">
        <w:rPr>
          <w:rFonts w:ascii="Verdana" w:hAnsi="Verdana"/>
        </w:rPr>
        <w:t>l’occupant principal</w:t>
      </w:r>
    </w:p>
    <w:p w:rsidR="008250A7" w:rsidRPr="00BF6A2E" w:rsidRDefault="008250A7" w:rsidP="008250A7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BF6A2E">
        <w:rPr>
          <w:rFonts w:ascii="Verdana" w:hAnsi="Verdana"/>
        </w:rPr>
        <w:t>Laisser en fin d’occupation les lieux dans leur état primitif.</w:t>
      </w:r>
    </w:p>
    <w:p w:rsidR="003D526E" w:rsidRPr="00BF6A2E" w:rsidRDefault="003D526E" w:rsidP="003D526E">
      <w:pPr>
        <w:pStyle w:val="Paragraphedeliste"/>
        <w:rPr>
          <w:rFonts w:ascii="Verdana" w:hAnsi="Verdana"/>
        </w:rPr>
      </w:pPr>
    </w:p>
    <w:p w:rsidR="008250A7" w:rsidRPr="00BF6A2E" w:rsidRDefault="008250A7" w:rsidP="00BF6A2E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5 – Modalités générales de jouissance :</w:t>
      </w:r>
    </w:p>
    <w:p w:rsidR="008250A7" w:rsidRPr="00BF6A2E" w:rsidRDefault="00AE5233" w:rsidP="008250A7">
      <w:pPr>
        <w:rPr>
          <w:rFonts w:ascii="Verdana" w:hAnsi="Verdana"/>
        </w:rPr>
      </w:pPr>
      <w:r>
        <w:rPr>
          <w:rFonts w:ascii="Verdana" w:hAnsi="Verdana"/>
        </w:rPr>
        <w:t>L’occupant supplémentaire</w:t>
      </w:r>
      <w:r w:rsidR="008250A7" w:rsidRPr="00BF6A2E">
        <w:rPr>
          <w:rFonts w:ascii="Verdana" w:hAnsi="Verdana"/>
        </w:rPr>
        <w:t xml:space="preserve"> devra :</w:t>
      </w:r>
    </w:p>
    <w:p w:rsidR="008250A7" w:rsidRPr="00BF6A2E" w:rsidRDefault="008250A7" w:rsidP="008250A7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BF6A2E">
        <w:rPr>
          <w:rFonts w:ascii="Verdana" w:hAnsi="Verdana"/>
        </w:rPr>
        <w:t>Se conformer, le cas échéant, au règlement général de l’immeuble et ne rien faire qui puisse troubler sa tranquillité,</w:t>
      </w:r>
    </w:p>
    <w:p w:rsidR="008250A7" w:rsidRPr="00BF6A2E" w:rsidRDefault="008250A7" w:rsidP="008250A7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BF6A2E">
        <w:rPr>
          <w:rFonts w:ascii="Verdana" w:hAnsi="Verdana"/>
        </w:rPr>
        <w:t>Prendre les précautions nécessaires pour éviter toute gêne de voisinage, tenant notamment aux bruits, aux odeurs et fumées,</w:t>
      </w:r>
    </w:p>
    <w:p w:rsidR="008250A7" w:rsidRPr="00BF6A2E" w:rsidRDefault="008250A7" w:rsidP="008250A7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BF6A2E">
        <w:rPr>
          <w:rFonts w:ascii="Verdana" w:hAnsi="Verdana"/>
        </w:rPr>
        <w:t>En aucun cas</w:t>
      </w:r>
      <w:r w:rsidR="00CA3D87">
        <w:rPr>
          <w:rFonts w:ascii="Verdana" w:hAnsi="Verdana"/>
        </w:rPr>
        <w:t xml:space="preserve">, </w:t>
      </w:r>
      <w:r w:rsidR="00953DCB">
        <w:rPr>
          <w:rFonts w:ascii="Verdana" w:hAnsi="Verdana"/>
        </w:rPr>
        <w:t>l’occupant supplémentaire</w:t>
      </w:r>
      <w:r w:rsidR="00953DCB" w:rsidRPr="00BF6A2E">
        <w:rPr>
          <w:rFonts w:ascii="Verdana" w:hAnsi="Verdana"/>
        </w:rPr>
        <w:t> </w:t>
      </w:r>
      <w:r w:rsidRPr="00BF6A2E">
        <w:rPr>
          <w:rFonts w:ascii="Verdana" w:hAnsi="Verdana"/>
        </w:rPr>
        <w:t xml:space="preserve"> ne pourra sous-louer, tant à titre gratuit, qu’à titre onéreux, les locaux</w:t>
      </w:r>
      <w:r w:rsidR="00F00C00" w:rsidRPr="00BF6A2E">
        <w:rPr>
          <w:rFonts w:ascii="Verdana" w:hAnsi="Verdana"/>
        </w:rPr>
        <w:t xml:space="preserve"> précités, s</w:t>
      </w:r>
      <w:r w:rsidR="00953DCB">
        <w:rPr>
          <w:rFonts w:ascii="Verdana" w:hAnsi="Verdana"/>
        </w:rPr>
        <w:t>ans l’accord express et écrit de l’occupant principal</w:t>
      </w:r>
      <w:r w:rsidR="00F00C00" w:rsidRPr="00BF6A2E">
        <w:rPr>
          <w:rFonts w:ascii="Verdana" w:hAnsi="Verdana"/>
        </w:rPr>
        <w:t>,</w:t>
      </w:r>
    </w:p>
    <w:p w:rsidR="00F00C00" w:rsidRDefault="00F00C00" w:rsidP="00CA3D87">
      <w:pPr>
        <w:pStyle w:val="Paragraphedeliste"/>
        <w:numPr>
          <w:ilvl w:val="0"/>
          <w:numId w:val="3"/>
        </w:numPr>
        <w:spacing w:after="60"/>
        <w:ind w:left="714" w:hanging="357"/>
        <w:rPr>
          <w:rFonts w:ascii="Verdana" w:hAnsi="Verdana"/>
        </w:rPr>
      </w:pPr>
      <w:r w:rsidRPr="00BF6A2E">
        <w:rPr>
          <w:rFonts w:ascii="Verdana" w:hAnsi="Verdana"/>
        </w:rPr>
        <w:t>Il fera son affaire personnelle de toutes les autorisations administratives afférentes à ses activités.</w:t>
      </w:r>
    </w:p>
    <w:p w:rsidR="00CA3D87" w:rsidRPr="00BF6A2E" w:rsidRDefault="00CA3D87" w:rsidP="00CA3D87">
      <w:pPr>
        <w:pStyle w:val="Paragraphedeliste"/>
        <w:spacing w:after="60"/>
        <w:ind w:left="714"/>
        <w:rPr>
          <w:rFonts w:ascii="Verdana" w:hAnsi="Verdana"/>
        </w:rPr>
      </w:pPr>
    </w:p>
    <w:p w:rsidR="00F00C00" w:rsidRPr="00BF6A2E" w:rsidRDefault="00F00C00" w:rsidP="00BF6A2E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 xml:space="preserve">Article 6 – Impôts charges locatives </w:t>
      </w:r>
    </w:p>
    <w:p w:rsidR="00CA3D87" w:rsidRDefault="00F00C00" w:rsidP="00CA3D87">
      <w:pPr>
        <w:spacing w:after="60"/>
        <w:rPr>
          <w:rFonts w:ascii="Verdana" w:hAnsi="Verdana"/>
        </w:rPr>
      </w:pPr>
      <w:r w:rsidRPr="00BF6A2E">
        <w:rPr>
          <w:rFonts w:ascii="Verdana" w:hAnsi="Verdana"/>
        </w:rPr>
        <w:t xml:space="preserve">A compter du </w:t>
      </w:r>
      <w:r w:rsidR="00857B09" w:rsidRPr="00857B09">
        <w:rPr>
          <w:rFonts w:ascii="Verdana" w:hAnsi="Verdana"/>
        </w:rPr>
        <w:t>1er août 2014</w:t>
      </w:r>
      <w:r w:rsidR="00953DCB">
        <w:rPr>
          <w:rFonts w:ascii="Verdana" w:hAnsi="Verdana"/>
        </w:rPr>
        <w:t>, l’occupant supplémentaire</w:t>
      </w:r>
      <w:r w:rsidRPr="00BF6A2E">
        <w:rPr>
          <w:rFonts w:ascii="Verdana" w:hAnsi="Verdana"/>
        </w:rPr>
        <w:t xml:space="preserve"> supportera directement toutes les charges liées à l’utilisation des lieux loués (téléphone, location, etc.) hormis celles prévues à l’article 1 ci-dessus.</w:t>
      </w:r>
    </w:p>
    <w:p w:rsidR="00CA3D87" w:rsidRPr="00BF6A2E" w:rsidRDefault="00CA3D87" w:rsidP="00CA3D87">
      <w:pPr>
        <w:spacing w:after="60"/>
        <w:rPr>
          <w:rFonts w:ascii="Verdana" w:hAnsi="Verdana"/>
        </w:rPr>
      </w:pPr>
    </w:p>
    <w:p w:rsidR="00F00C00" w:rsidRPr="00BF6A2E" w:rsidRDefault="00F00C00" w:rsidP="00BF6A2E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 xml:space="preserve">Article 7 – Assurance </w:t>
      </w:r>
    </w:p>
    <w:p w:rsidR="00F00C00" w:rsidRDefault="00953DCB" w:rsidP="00CA3D87">
      <w:pPr>
        <w:spacing w:after="60"/>
        <w:rPr>
          <w:rFonts w:ascii="Verdana" w:hAnsi="Verdana"/>
        </w:rPr>
      </w:pPr>
      <w:r>
        <w:rPr>
          <w:rFonts w:ascii="Verdana" w:hAnsi="Verdana"/>
        </w:rPr>
        <w:lastRenderedPageBreak/>
        <w:t>L’occupant supplémentaire</w:t>
      </w:r>
      <w:r w:rsidRPr="00BF6A2E">
        <w:rPr>
          <w:rFonts w:ascii="Verdana" w:hAnsi="Verdana"/>
        </w:rPr>
        <w:t xml:space="preserve"> </w:t>
      </w:r>
      <w:r w:rsidR="00F00C00" w:rsidRPr="00BF6A2E">
        <w:rPr>
          <w:rFonts w:ascii="Verdana" w:hAnsi="Verdana"/>
        </w:rPr>
        <w:t>contractera les assurances nécessaires pour garantir sa responsabilité civile, les mobiliers et matériels lui appartenant.</w:t>
      </w:r>
    </w:p>
    <w:p w:rsidR="00CA3D87" w:rsidRPr="00BF6A2E" w:rsidRDefault="00CA3D87" w:rsidP="00CA3D87">
      <w:pPr>
        <w:spacing w:after="60"/>
        <w:rPr>
          <w:rFonts w:ascii="Verdana" w:hAnsi="Verdana"/>
        </w:rPr>
      </w:pPr>
    </w:p>
    <w:p w:rsidR="00F00C00" w:rsidRPr="00BF6A2E" w:rsidRDefault="00F00C00" w:rsidP="00BF6A2E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8 – Sécurité</w:t>
      </w:r>
    </w:p>
    <w:p w:rsidR="00F00C00" w:rsidRPr="00BF6A2E" w:rsidRDefault="00953DCB" w:rsidP="00F00C00">
      <w:pPr>
        <w:rPr>
          <w:rFonts w:ascii="Verdana" w:hAnsi="Verdana"/>
        </w:rPr>
      </w:pPr>
      <w:r>
        <w:rPr>
          <w:rFonts w:ascii="Verdana" w:hAnsi="Verdana"/>
        </w:rPr>
        <w:t>L’occupant supplémentaire</w:t>
      </w:r>
      <w:r w:rsidRPr="00BF6A2E">
        <w:rPr>
          <w:rFonts w:ascii="Verdana" w:hAnsi="Verdana"/>
        </w:rPr>
        <w:t xml:space="preserve"> </w:t>
      </w:r>
      <w:r w:rsidR="00F00C00" w:rsidRPr="00BF6A2E">
        <w:rPr>
          <w:rFonts w:ascii="Verdana" w:hAnsi="Verdana"/>
        </w:rPr>
        <w:t>devra respecter t</w:t>
      </w:r>
      <w:r w:rsidR="00AE5233">
        <w:rPr>
          <w:rFonts w:ascii="Verdana" w:hAnsi="Verdana"/>
        </w:rPr>
        <w:t xml:space="preserve">outes les mesures prises par l’occupant principal </w:t>
      </w:r>
      <w:r w:rsidR="00F00C00" w:rsidRPr="00BF6A2E">
        <w:rPr>
          <w:rFonts w:ascii="Verdana" w:hAnsi="Verdana"/>
        </w:rPr>
        <w:t>pour assurer la sécurité des locaux afin d’éviter les vols ou actes de vandalisme.</w:t>
      </w:r>
    </w:p>
    <w:p w:rsidR="00F00C00" w:rsidRPr="00BF6A2E" w:rsidRDefault="00953DCB" w:rsidP="00F00C00">
      <w:pPr>
        <w:rPr>
          <w:rFonts w:ascii="Verdana" w:hAnsi="Verdana"/>
        </w:rPr>
      </w:pPr>
      <w:r>
        <w:rPr>
          <w:rFonts w:ascii="Verdana" w:hAnsi="Verdana"/>
        </w:rPr>
        <w:t>L’occupant supplémentaire</w:t>
      </w:r>
      <w:r w:rsidRPr="00BF6A2E">
        <w:rPr>
          <w:rFonts w:ascii="Verdana" w:hAnsi="Verdana"/>
        </w:rPr>
        <w:t xml:space="preserve"> </w:t>
      </w:r>
      <w:r w:rsidR="00F00C00" w:rsidRPr="00BF6A2E">
        <w:rPr>
          <w:rFonts w:ascii="Verdana" w:hAnsi="Verdana"/>
        </w:rPr>
        <w:t>renonce également dès à présent à tout recours contre l</w:t>
      </w:r>
      <w:r>
        <w:rPr>
          <w:rFonts w:ascii="Verdana" w:hAnsi="Verdana"/>
        </w:rPr>
        <w:t>’occupant principal</w:t>
      </w:r>
      <w:r w:rsidR="00F00C00" w:rsidRPr="00BF6A2E">
        <w:rPr>
          <w:rFonts w:ascii="Verdana" w:hAnsi="Verdana"/>
        </w:rPr>
        <w:t> :</w:t>
      </w:r>
    </w:p>
    <w:p w:rsidR="00F00C00" w:rsidRPr="00BF6A2E" w:rsidRDefault="00D136D5" w:rsidP="00D136D5">
      <w:pPr>
        <w:numPr>
          <w:ilvl w:val="0"/>
          <w:numId w:val="4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d’acte délictuel ou criminel dont ses membres collaborateurs ou autres personnes pourraient être victimes, tant dans les lieux loués que dans les parties communes des locaux,</w:t>
      </w:r>
    </w:p>
    <w:p w:rsidR="00D136D5" w:rsidRPr="00BF6A2E" w:rsidRDefault="00D136D5" w:rsidP="00D136D5">
      <w:pPr>
        <w:numPr>
          <w:ilvl w:val="0"/>
          <w:numId w:val="4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d’accidents matériels ou corporels pouvant survenir dans les lieux loués et les parties communes,</w:t>
      </w:r>
    </w:p>
    <w:p w:rsidR="00D136D5" w:rsidRPr="00BF6A2E" w:rsidRDefault="00D136D5" w:rsidP="00D136D5">
      <w:pPr>
        <w:numPr>
          <w:ilvl w:val="0"/>
          <w:numId w:val="4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d’interruption dans le service des eaux, de l’électricité, du chauffage, etc…</w:t>
      </w:r>
    </w:p>
    <w:p w:rsidR="00D136D5" w:rsidRPr="00BF6A2E" w:rsidRDefault="00D136D5" w:rsidP="00D136D5">
      <w:pPr>
        <w:numPr>
          <w:ilvl w:val="0"/>
          <w:numId w:val="4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raison du préjudice qui pourrait lui être causé par les vices ou défauts des locaux loués, quelle qu’en soit la nature et quels que soient ces vices,</w:t>
      </w:r>
    </w:p>
    <w:p w:rsidR="00D136D5" w:rsidRDefault="00D136D5" w:rsidP="00CA3D87">
      <w:pPr>
        <w:numPr>
          <w:ilvl w:val="0"/>
          <w:numId w:val="4"/>
        </w:numPr>
        <w:spacing w:after="0"/>
        <w:ind w:left="714" w:hanging="357"/>
        <w:rPr>
          <w:rFonts w:ascii="Verdana" w:hAnsi="Verdana"/>
        </w:rPr>
      </w:pPr>
      <w:r w:rsidRPr="00BF6A2E">
        <w:rPr>
          <w:rFonts w:ascii="Verdana" w:hAnsi="Verdana"/>
        </w:rPr>
        <w:t>En raison de troubles de fait ou de droit émanant de tiers.</w:t>
      </w:r>
    </w:p>
    <w:p w:rsidR="00CA3D87" w:rsidRPr="00BF6A2E" w:rsidRDefault="00CA3D87" w:rsidP="00CA3D87">
      <w:pPr>
        <w:spacing w:after="0"/>
        <w:ind w:left="714"/>
        <w:rPr>
          <w:rFonts w:ascii="Verdana" w:hAnsi="Verdana"/>
        </w:rPr>
      </w:pPr>
    </w:p>
    <w:p w:rsidR="00D136D5" w:rsidRPr="00BF6A2E" w:rsidRDefault="00D136D5" w:rsidP="00D136D5">
      <w:pPr>
        <w:spacing w:after="0"/>
        <w:rPr>
          <w:rFonts w:ascii="Verdana" w:hAnsi="Verdana"/>
        </w:rPr>
      </w:pPr>
    </w:p>
    <w:p w:rsidR="00D136D5" w:rsidRPr="00BF6A2E" w:rsidRDefault="00D136D5" w:rsidP="00D136D5">
      <w:pPr>
        <w:spacing w:after="0"/>
        <w:rPr>
          <w:rFonts w:ascii="Verdana" w:hAnsi="Verdana"/>
        </w:rPr>
      </w:pPr>
      <w:r w:rsidRPr="00BF6A2E">
        <w:rPr>
          <w:rFonts w:ascii="Verdana" w:hAnsi="Verdana"/>
          <w:b/>
        </w:rPr>
        <w:t>Article 9 – Clauses résolutoires</w:t>
      </w:r>
      <w:r w:rsidRPr="00BF6A2E">
        <w:rPr>
          <w:rFonts w:ascii="Verdana" w:hAnsi="Verdana"/>
        </w:rPr>
        <w:t> :</w:t>
      </w:r>
    </w:p>
    <w:p w:rsidR="00D136D5" w:rsidRPr="00BF6A2E" w:rsidRDefault="00D136D5" w:rsidP="00D136D5">
      <w:p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Le présent contrat sera résilié de plein droit :</w:t>
      </w:r>
    </w:p>
    <w:p w:rsidR="00D136D5" w:rsidRPr="00BF6A2E" w:rsidRDefault="00D136D5" w:rsidP="00D136D5">
      <w:pPr>
        <w:numPr>
          <w:ilvl w:val="0"/>
          <w:numId w:val="5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d’inexécution de l’une quelconque des clauses du présent contrat et après mises en demeure restées sans effet,</w:t>
      </w:r>
    </w:p>
    <w:p w:rsidR="00D136D5" w:rsidRPr="00BF6A2E" w:rsidRDefault="00D136D5" w:rsidP="00D136D5">
      <w:pPr>
        <w:numPr>
          <w:ilvl w:val="0"/>
          <w:numId w:val="5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de non-respect des buts pour lesquels les locaux ont été attribués,</w:t>
      </w:r>
    </w:p>
    <w:p w:rsidR="00D136D5" w:rsidRPr="00BF6A2E" w:rsidRDefault="009C466B" w:rsidP="00D136D5">
      <w:pPr>
        <w:numPr>
          <w:ilvl w:val="0"/>
          <w:numId w:val="5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de vacance constatée et prolongée de la direction de l’association,</w:t>
      </w:r>
    </w:p>
    <w:p w:rsidR="009C466B" w:rsidRPr="00BF6A2E" w:rsidRDefault="009C466B" w:rsidP="00D136D5">
      <w:pPr>
        <w:numPr>
          <w:ilvl w:val="0"/>
          <w:numId w:val="5"/>
        </w:num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En cas de dissolution de l’association</w:t>
      </w:r>
    </w:p>
    <w:p w:rsidR="009C466B" w:rsidRDefault="009C466B" w:rsidP="00CA3D87">
      <w:pPr>
        <w:numPr>
          <w:ilvl w:val="0"/>
          <w:numId w:val="5"/>
        </w:numPr>
        <w:spacing w:after="0"/>
        <w:ind w:left="714" w:hanging="357"/>
        <w:rPr>
          <w:rFonts w:ascii="Verdana" w:hAnsi="Verdana"/>
        </w:rPr>
      </w:pPr>
      <w:r w:rsidRPr="00BF6A2E">
        <w:rPr>
          <w:rFonts w:ascii="Verdana" w:hAnsi="Verdana"/>
        </w:rPr>
        <w:t>En cas de résiliation du contrat de location entre 4D et le Richemont.</w:t>
      </w:r>
    </w:p>
    <w:p w:rsidR="00CA3D87" w:rsidRPr="00BF6A2E" w:rsidRDefault="004A2A8A" w:rsidP="00857B09">
      <w:pPr>
        <w:spacing w:after="0"/>
        <w:rPr>
          <w:rFonts w:ascii="Verdana" w:hAnsi="Verdana"/>
        </w:rPr>
      </w:pPr>
      <w:r>
        <w:rPr>
          <w:rFonts w:ascii="Verdana" w:hAnsi="Verdana"/>
        </w:rPr>
        <w:t>Un délai de prévenance de trois</w:t>
      </w:r>
      <w:r w:rsidR="00857B09">
        <w:rPr>
          <w:rFonts w:ascii="Verdana" w:hAnsi="Verdana"/>
        </w:rPr>
        <w:t xml:space="preserve"> mois minimum sera respecté. </w:t>
      </w:r>
    </w:p>
    <w:p w:rsidR="009C466B" w:rsidRPr="00BF6A2E" w:rsidRDefault="009C466B" w:rsidP="009C466B">
      <w:pPr>
        <w:spacing w:after="0"/>
        <w:ind w:left="720"/>
        <w:rPr>
          <w:rFonts w:ascii="Verdana" w:hAnsi="Verdana"/>
        </w:rPr>
      </w:pPr>
    </w:p>
    <w:p w:rsidR="009C466B" w:rsidRPr="00BF6A2E" w:rsidRDefault="009C466B" w:rsidP="009C466B">
      <w:pPr>
        <w:spacing w:after="0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>Article 10 – Interprétation – Litiges – Tolérances</w:t>
      </w:r>
    </w:p>
    <w:p w:rsidR="009C466B" w:rsidRPr="00BF6A2E" w:rsidRDefault="009C466B" w:rsidP="009C466B">
      <w:pPr>
        <w:spacing w:after="0"/>
        <w:rPr>
          <w:rFonts w:ascii="Verdana" w:hAnsi="Verdana"/>
        </w:rPr>
      </w:pPr>
      <w:r w:rsidRPr="00BF6A2E">
        <w:rPr>
          <w:rFonts w:ascii="Verdana" w:hAnsi="Verdana"/>
        </w:rPr>
        <w:t>Les droits et les obligations des parties contractant seront réglés conformément aux dispositions du Code Civil et aux usages pour tout ce qui n’est pas prévu au présent contrat.</w:t>
      </w:r>
    </w:p>
    <w:p w:rsidR="009C466B" w:rsidRPr="00BF6A2E" w:rsidRDefault="004A2A8A" w:rsidP="009C466B">
      <w:pPr>
        <w:spacing w:after="0"/>
        <w:rPr>
          <w:rFonts w:ascii="Verdana" w:hAnsi="Verdana"/>
        </w:rPr>
      </w:pPr>
      <w:r>
        <w:rPr>
          <w:rFonts w:ascii="Verdana" w:hAnsi="Verdana"/>
        </w:rPr>
        <w:t>Pour</w:t>
      </w:r>
      <w:r w:rsidR="009C466B" w:rsidRPr="00BF6A2E">
        <w:rPr>
          <w:rFonts w:ascii="Verdana" w:hAnsi="Verdana"/>
        </w:rPr>
        <w:t xml:space="preserve"> toutes contestations portant sur l’ap</w:t>
      </w:r>
      <w:r>
        <w:rPr>
          <w:rFonts w:ascii="Verdana" w:hAnsi="Verdana"/>
        </w:rPr>
        <w:t>plication ou l’interprétation de la présente convention</w:t>
      </w:r>
      <w:r w:rsidR="009C466B" w:rsidRPr="00BF6A2E">
        <w:rPr>
          <w:rFonts w:ascii="Verdana" w:hAnsi="Verdana"/>
        </w:rPr>
        <w:t>, les tribunaux de Paris sont seuls compétents.</w:t>
      </w:r>
    </w:p>
    <w:p w:rsidR="009C466B" w:rsidRPr="00BF6A2E" w:rsidRDefault="009C466B" w:rsidP="009C466B">
      <w:pPr>
        <w:spacing w:after="0"/>
        <w:rPr>
          <w:rFonts w:ascii="Verdana" w:hAnsi="Verdana"/>
        </w:rPr>
      </w:pPr>
    </w:p>
    <w:p w:rsidR="009C466B" w:rsidRPr="00BF6A2E" w:rsidRDefault="009C466B" w:rsidP="00CA3D87">
      <w:pPr>
        <w:spacing w:after="0"/>
        <w:ind w:left="5387"/>
        <w:rPr>
          <w:rFonts w:ascii="Verdana" w:hAnsi="Verdana"/>
        </w:rPr>
      </w:pPr>
      <w:r w:rsidRPr="00BF6A2E">
        <w:rPr>
          <w:rFonts w:ascii="Verdana" w:hAnsi="Verdana"/>
        </w:rPr>
        <w:t xml:space="preserve">Fait à Paris, le </w:t>
      </w:r>
    </w:p>
    <w:p w:rsidR="009C466B" w:rsidRPr="00BF6A2E" w:rsidRDefault="009C466B" w:rsidP="00CA3D87">
      <w:pPr>
        <w:spacing w:after="0"/>
        <w:ind w:left="5387"/>
        <w:rPr>
          <w:rFonts w:ascii="Verdana" w:hAnsi="Verdana"/>
        </w:rPr>
      </w:pPr>
      <w:bookmarkStart w:id="0" w:name="_GoBack"/>
      <w:bookmarkEnd w:id="0"/>
      <w:r w:rsidRPr="00BF6A2E">
        <w:rPr>
          <w:rFonts w:ascii="Verdana" w:hAnsi="Verdana"/>
        </w:rPr>
        <w:t xml:space="preserve">En deux exemplaires dont un pour </w:t>
      </w:r>
      <w:r w:rsidR="00953DCB">
        <w:rPr>
          <w:rFonts w:ascii="Verdana" w:hAnsi="Verdana"/>
        </w:rPr>
        <w:t>l’occupant supplémentaire</w:t>
      </w:r>
    </w:p>
    <w:p w:rsidR="009C466B" w:rsidRPr="00BF6A2E" w:rsidRDefault="009C466B" w:rsidP="009C466B">
      <w:pPr>
        <w:spacing w:after="0"/>
        <w:rPr>
          <w:rFonts w:ascii="Verdana" w:hAnsi="Verdana"/>
        </w:rPr>
      </w:pPr>
    </w:p>
    <w:p w:rsidR="009C466B" w:rsidRPr="006475A9" w:rsidRDefault="00953DCB" w:rsidP="009C466B">
      <w:pPr>
        <w:spacing w:after="0"/>
        <w:rPr>
          <w:rFonts w:ascii="Verdana" w:hAnsi="Verdana"/>
        </w:rPr>
      </w:pPr>
      <w:r w:rsidRPr="006475A9">
        <w:rPr>
          <w:rFonts w:ascii="Verdana" w:hAnsi="Verdana"/>
        </w:rPr>
        <w:t>L’occupant supplémentaire</w:t>
      </w:r>
      <w:r w:rsidR="009C466B" w:rsidRPr="006475A9">
        <w:rPr>
          <w:rFonts w:ascii="Verdana" w:hAnsi="Verdana"/>
        </w:rPr>
        <w:tab/>
      </w:r>
      <w:r w:rsidR="009C466B" w:rsidRPr="006475A9">
        <w:rPr>
          <w:rFonts w:ascii="Verdana" w:hAnsi="Verdana"/>
        </w:rPr>
        <w:tab/>
      </w:r>
      <w:r w:rsidR="009C466B" w:rsidRPr="006475A9">
        <w:rPr>
          <w:rFonts w:ascii="Verdana" w:hAnsi="Verdana"/>
        </w:rPr>
        <w:tab/>
      </w:r>
      <w:r w:rsidR="009C466B" w:rsidRPr="006475A9">
        <w:rPr>
          <w:rFonts w:ascii="Verdana" w:hAnsi="Verdana"/>
        </w:rPr>
        <w:tab/>
      </w:r>
      <w:r w:rsidR="009C466B" w:rsidRPr="006475A9">
        <w:rPr>
          <w:rFonts w:ascii="Verdana" w:hAnsi="Verdana"/>
        </w:rPr>
        <w:tab/>
      </w:r>
      <w:r w:rsidRPr="006475A9">
        <w:rPr>
          <w:rFonts w:ascii="Verdana" w:hAnsi="Verdana"/>
        </w:rPr>
        <w:t>L’occupant principal</w:t>
      </w:r>
    </w:p>
    <w:p w:rsidR="009C466B" w:rsidRPr="006475A9" w:rsidRDefault="00857B09" w:rsidP="00DB0B7B">
      <w:pPr>
        <w:spacing w:after="0"/>
        <w:ind w:left="5664" w:hanging="5664"/>
        <w:rPr>
          <w:rFonts w:ascii="Verdana" w:hAnsi="Verdana"/>
        </w:rPr>
      </w:pPr>
      <w:proofErr w:type="spellStart"/>
      <w:r w:rsidRPr="006475A9">
        <w:rPr>
          <w:rFonts w:ascii="Verdana" w:hAnsi="Verdana"/>
        </w:rPr>
        <w:t>Unadel</w:t>
      </w:r>
      <w:proofErr w:type="spellEnd"/>
      <w:r w:rsidR="009C466B" w:rsidRPr="006475A9">
        <w:rPr>
          <w:rFonts w:ascii="Verdana" w:hAnsi="Verdana"/>
        </w:rPr>
        <w:tab/>
        <w:t>4D – Dossiers et Débats pour le Développement  Durable</w:t>
      </w:r>
    </w:p>
    <w:p w:rsidR="009C466B" w:rsidRPr="00BF6A2E" w:rsidRDefault="009C466B" w:rsidP="006475A9">
      <w:pPr>
        <w:spacing w:after="0"/>
        <w:rPr>
          <w:rFonts w:ascii="Verdana" w:hAnsi="Verdana"/>
          <w:b/>
        </w:rPr>
      </w:pPr>
    </w:p>
    <w:p w:rsidR="009C466B" w:rsidRDefault="00857B09" w:rsidP="009C466B">
      <w:pPr>
        <w:spacing w:after="0"/>
        <w:rPr>
          <w:rFonts w:ascii="Verdana" w:hAnsi="Verdana"/>
          <w:b/>
        </w:rPr>
      </w:pPr>
      <w:r w:rsidRPr="00857B09">
        <w:rPr>
          <w:rFonts w:ascii="Verdana" w:hAnsi="Verdana"/>
          <w:b/>
        </w:rPr>
        <w:t xml:space="preserve">Claude </w:t>
      </w:r>
      <w:proofErr w:type="spellStart"/>
      <w:r w:rsidRPr="00857B09">
        <w:rPr>
          <w:rFonts w:ascii="Verdana" w:hAnsi="Verdana"/>
          <w:b/>
        </w:rPr>
        <w:t>Grivel</w:t>
      </w:r>
      <w:proofErr w:type="spellEnd"/>
      <w:r w:rsidR="009C466B" w:rsidRPr="00BF6A2E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9C466B" w:rsidRPr="00BF6A2E">
        <w:rPr>
          <w:rFonts w:ascii="Verdana" w:hAnsi="Verdana"/>
          <w:b/>
        </w:rPr>
        <w:tab/>
      </w:r>
      <w:r w:rsidR="009C466B" w:rsidRPr="00BF6A2E">
        <w:rPr>
          <w:rFonts w:ascii="Verdana" w:hAnsi="Verdana"/>
          <w:b/>
        </w:rPr>
        <w:tab/>
      </w:r>
      <w:r w:rsidR="009C466B" w:rsidRPr="00BF6A2E">
        <w:rPr>
          <w:rFonts w:ascii="Verdana" w:hAnsi="Verdana"/>
          <w:b/>
        </w:rPr>
        <w:tab/>
      </w:r>
      <w:r w:rsidR="009C466B" w:rsidRPr="00BF6A2E">
        <w:rPr>
          <w:rFonts w:ascii="Verdana" w:hAnsi="Verdana"/>
          <w:b/>
        </w:rPr>
        <w:tab/>
      </w:r>
      <w:r w:rsidR="009C466B" w:rsidRPr="00BF6A2E">
        <w:rPr>
          <w:rFonts w:ascii="Verdana" w:hAnsi="Verdana"/>
          <w:b/>
        </w:rPr>
        <w:tab/>
        <w:t>Pierre RADANNE</w:t>
      </w:r>
    </w:p>
    <w:p w:rsidR="007527F6" w:rsidRDefault="007527F6" w:rsidP="009C466B">
      <w:pPr>
        <w:spacing w:after="0"/>
        <w:rPr>
          <w:rFonts w:ascii="Verdana" w:hAnsi="Verdana"/>
          <w:b/>
        </w:rPr>
      </w:pPr>
    </w:p>
    <w:p w:rsidR="007527F6" w:rsidRDefault="007527F6" w:rsidP="009C466B">
      <w:pPr>
        <w:spacing w:after="0"/>
        <w:rPr>
          <w:rFonts w:ascii="Verdana" w:hAnsi="Verdana"/>
          <w:b/>
        </w:rPr>
      </w:pPr>
    </w:p>
    <w:p w:rsidR="007527F6" w:rsidRPr="00BF6A2E" w:rsidRDefault="00857B09" w:rsidP="00857B09">
      <w:pPr>
        <w:pStyle w:val="Default"/>
        <w:rPr>
          <w:rFonts w:ascii="Verdana" w:hAnsi="Verdana"/>
          <w:b/>
        </w:rPr>
      </w:pPr>
      <w:r w:rsidRPr="00BF6A2E">
        <w:rPr>
          <w:rFonts w:ascii="Verdana" w:hAnsi="Verdana"/>
          <w:b/>
        </w:rPr>
        <w:t xml:space="preserve"> </w:t>
      </w:r>
    </w:p>
    <w:sectPr w:rsidR="007527F6" w:rsidRPr="00BF6A2E" w:rsidSect="00ED27B5">
      <w:pgSz w:w="11905" w:h="16837"/>
      <w:pgMar w:top="1134" w:right="720" w:bottom="720" w:left="567" w:header="72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BD1"/>
    <w:multiLevelType w:val="hybridMultilevel"/>
    <w:tmpl w:val="0A7A2734"/>
    <w:lvl w:ilvl="0" w:tplc="7206DA52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71A18"/>
    <w:multiLevelType w:val="hybridMultilevel"/>
    <w:tmpl w:val="B3147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5473"/>
    <w:multiLevelType w:val="hybridMultilevel"/>
    <w:tmpl w:val="7B98F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75902"/>
    <w:multiLevelType w:val="hybridMultilevel"/>
    <w:tmpl w:val="8D7EB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1167"/>
    <w:multiLevelType w:val="hybridMultilevel"/>
    <w:tmpl w:val="893A1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4F"/>
    <w:rsid w:val="00126E4E"/>
    <w:rsid w:val="00147D98"/>
    <w:rsid w:val="00263A22"/>
    <w:rsid w:val="002F7408"/>
    <w:rsid w:val="00327B01"/>
    <w:rsid w:val="003D526E"/>
    <w:rsid w:val="004A2A8A"/>
    <w:rsid w:val="0052146E"/>
    <w:rsid w:val="0058038E"/>
    <w:rsid w:val="006059F3"/>
    <w:rsid w:val="006475A9"/>
    <w:rsid w:val="00695727"/>
    <w:rsid w:val="006D0F4F"/>
    <w:rsid w:val="007527F6"/>
    <w:rsid w:val="007659DB"/>
    <w:rsid w:val="008250A7"/>
    <w:rsid w:val="00832AC7"/>
    <w:rsid w:val="00837B77"/>
    <w:rsid w:val="00857B09"/>
    <w:rsid w:val="008A7945"/>
    <w:rsid w:val="008F6734"/>
    <w:rsid w:val="0093012E"/>
    <w:rsid w:val="00953DCB"/>
    <w:rsid w:val="009B34BC"/>
    <w:rsid w:val="009C466B"/>
    <w:rsid w:val="00AE5233"/>
    <w:rsid w:val="00B212CF"/>
    <w:rsid w:val="00BB30F7"/>
    <w:rsid w:val="00BF6A2E"/>
    <w:rsid w:val="00C24B72"/>
    <w:rsid w:val="00CA3D87"/>
    <w:rsid w:val="00CE3694"/>
    <w:rsid w:val="00D136D5"/>
    <w:rsid w:val="00DB0B7B"/>
    <w:rsid w:val="00DC0DE7"/>
    <w:rsid w:val="00E85B73"/>
    <w:rsid w:val="00ED27B5"/>
    <w:rsid w:val="00F00C00"/>
    <w:rsid w:val="00F50C4A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8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B01"/>
    <w:pPr>
      <w:ind w:left="720"/>
      <w:contextualSpacing/>
    </w:pPr>
  </w:style>
  <w:style w:type="paragraph" w:customStyle="1" w:styleId="Default">
    <w:name w:val="Default"/>
    <w:rsid w:val="007527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8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B01"/>
    <w:pPr>
      <w:ind w:left="720"/>
      <w:contextualSpacing/>
    </w:pPr>
  </w:style>
  <w:style w:type="paragraph" w:customStyle="1" w:styleId="Default">
    <w:name w:val="Default"/>
    <w:rsid w:val="007527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 4D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 4D</dc:creator>
  <cp:lastModifiedBy>Stéphane</cp:lastModifiedBy>
  <cp:revision>5</cp:revision>
  <dcterms:created xsi:type="dcterms:W3CDTF">2014-07-29T14:15:00Z</dcterms:created>
  <dcterms:modified xsi:type="dcterms:W3CDTF">2014-07-29T15:27:00Z</dcterms:modified>
</cp:coreProperties>
</file>