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59" w:rsidRPr="00206E3C" w:rsidRDefault="00BB2C59" w:rsidP="00BB2C59">
      <w:pPr>
        <w:rPr>
          <w:b/>
          <w:sz w:val="16"/>
          <w:szCs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115524" cy="71437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ade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585" cy="71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08B" w:rsidRPr="004D6DB3" w:rsidRDefault="00F2340C" w:rsidP="004D6DB3">
      <w:pPr>
        <w:jc w:val="right"/>
        <w:rPr>
          <w:sz w:val="24"/>
          <w:szCs w:val="24"/>
        </w:rPr>
      </w:pPr>
      <w:r>
        <w:rPr>
          <w:sz w:val="24"/>
          <w:szCs w:val="24"/>
        </w:rPr>
        <w:t>Le 31 j</w:t>
      </w:r>
      <w:r w:rsidR="00BB2C59" w:rsidRPr="00BB2C59">
        <w:rPr>
          <w:sz w:val="24"/>
          <w:szCs w:val="24"/>
        </w:rPr>
        <w:t>anvier 2015</w:t>
      </w:r>
    </w:p>
    <w:p w:rsidR="00C515E4" w:rsidRDefault="00C515E4" w:rsidP="00E4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32"/>
          <w:szCs w:val="32"/>
        </w:rPr>
      </w:pPr>
    </w:p>
    <w:p w:rsidR="00E41F6E" w:rsidRDefault="00940729" w:rsidP="00E4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32"/>
          <w:szCs w:val="32"/>
        </w:rPr>
      </w:pPr>
      <w:r w:rsidRPr="004D6DB3">
        <w:rPr>
          <w:b/>
          <w:caps/>
          <w:sz w:val="32"/>
          <w:szCs w:val="32"/>
        </w:rPr>
        <w:t xml:space="preserve">L’offre de </w:t>
      </w:r>
      <w:r w:rsidR="00BB2C59" w:rsidRPr="004D6DB3">
        <w:rPr>
          <w:b/>
          <w:caps/>
          <w:sz w:val="32"/>
          <w:szCs w:val="32"/>
        </w:rPr>
        <w:t>formation</w:t>
      </w:r>
      <w:r w:rsidR="00C245D4" w:rsidRPr="004D6DB3">
        <w:rPr>
          <w:b/>
          <w:caps/>
          <w:sz w:val="32"/>
          <w:szCs w:val="32"/>
        </w:rPr>
        <w:t xml:space="preserve"> </w:t>
      </w:r>
      <w:r w:rsidRPr="004D6DB3">
        <w:rPr>
          <w:b/>
          <w:caps/>
          <w:sz w:val="32"/>
          <w:szCs w:val="32"/>
        </w:rPr>
        <w:t xml:space="preserve">de </w:t>
      </w:r>
      <w:r w:rsidR="00BB2C59" w:rsidRPr="004D6DB3">
        <w:rPr>
          <w:b/>
          <w:caps/>
          <w:sz w:val="32"/>
          <w:szCs w:val="32"/>
        </w:rPr>
        <w:t>l’UNADEL pour l’année 2015</w:t>
      </w:r>
    </w:p>
    <w:p w:rsidR="00C515E4" w:rsidRPr="00E41F6E" w:rsidRDefault="00C515E4" w:rsidP="00E4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32"/>
          <w:szCs w:val="32"/>
        </w:rPr>
      </w:pPr>
    </w:p>
    <w:p w:rsidR="00C515E4" w:rsidRPr="00CB4ABD" w:rsidRDefault="00CB4ABD" w:rsidP="00CB4ABD">
      <w:pPr>
        <w:pStyle w:val="Paragraphedeliste"/>
        <w:numPr>
          <w:ilvl w:val="0"/>
          <w:numId w:val="5"/>
        </w:numPr>
        <w:jc w:val="both"/>
        <w:rPr>
          <w:b/>
          <w:smallCaps/>
          <w:sz w:val="32"/>
          <w:szCs w:val="32"/>
        </w:rPr>
      </w:pPr>
      <w:r w:rsidRPr="00CB4ABD">
        <w:rPr>
          <w:b/>
          <w:smallCaps/>
          <w:sz w:val="32"/>
          <w:szCs w:val="32"/>
        </w:rPr>
        <w:t xml:space="preserve">Les différents formats </w:t>
      </w:r>
      <w:proofErr w:type="gramStart"/>
      <w:r w:rsidRPr="00CB4ABD">
        <w:rPr>
          <w:b/>
          <w:smallCaps/>
          <w:sz w:val="32"/>
          <w:szCs w:val="32"/>
        </w:rPr>
        <w:t>proposés</w:t>
      </w:r>
      <w:proofErr w:type="gramEnd"/>
    </w:p>
    <w:p w:rsidR="00E41F6E" w:rsidRDefault="00646189" w:rsidP="00B10630">
      <w:pPr>
        <w:jc w:val="both"/>
        <w:rPr>
          <w:sz w:val="24"/>
          <w:szCs w:val="24"/>
        </w:rPr>
      </w:pPr>
      <w:r>
        <w:rPr>
          <w:sz w:val="24"/>
          <w:szCs w:val="24"/>
        </w:rPr>
        <w:t>L’offre de formation</w:t>
      </w:r>
      <w:r w:rsidR="003F090D">
        <w:rPr>
          <w:sz w:val="24"/>
          <w:szCs w:val="24"/>
        </w:rPr>
        <w:t xml:space="preserve"> </w:t>
      </w:r>
      <w:r>
        <w:rPr>
          <w:sz w:val="24"/>
          <w:szCs w:val="24"/>
        </w:rPr>
        <w:t>de l’</w:t>
      </w:r>
      <w:proofErr w:type="spellStart"/>
      <w:r>
        <w:rPr>
          <w:sz w:val="24"/>
          <w:szCs w:val="24"/>
        </w:rPr>
        <w:t>Unadel</w:t>
      </w:r>
      <w:proofErr w:type="spellEnd"/>
      <w:r>
        <w:rPr>
          <w:sz w:val="24"/>
          <w:szCs w:val="24"/>
        </w:rPr>
        <w:t> </w:t>
      </w:r>
      <w:r w:rsidR="001A5A58">
        <w:rPr>
          <w:sz w:val="24"/>
          <w:szCs w:val="24"/>
        </w:rPr>
        <w:t xml:space="preserve"> s’adresse </w:t>
      </w:r>
      <w:r w:rsidR="00940729">
        <w:rPr>
          <w:sz w:val="24"/>
          <w:szCs w:val="24"/>
        </w:rPr>
        <w:t xml:space="preserve">à </w:t>
      </w:r>
      <w:r w:rsidR="001A5A58">
        <w:rPr>
          <w:sz w:val="24"/>
          <w:szCs w:val="24"/>
        </w:rPr>
        <w:t>un éventail large des acteurs du développement local du m</w:t>
      </w:r>
      <w:r w:rsidR="00940729">
        <w:rPr>
          <w:sz w:val="24"/>
          <w:szCs w:val="24"/>
        </w:rPr>
        <w:t>ilieu rural comme</w:t>
      </w:r>
      <w:r w:rsidR="001A5A58">
        <w:rPr>
          <w:sz w:val="24"/>
          <w:szCs w:val="24"/>
        </w:rPr>
        <w:t xml:space="preserve"> du milieu urbain : élus, agents de développement, associations, membres d’instances de concertation.</w:t>
      </w:r>
      <w:r w:rsidR="001A5A58" w:rsidRPr="001A5A58">
        <w:rPr>
          <w:sz w:val="24"/>
          <w:szCs w:val="24"/>
        </w:rPr>
        <w:t xml:space="preserve"> </w:t>
      </w:r>
      <w:r w:rsidR="00551EE6">
        <w:rPr>
          <w:sz w:val="24"/>
          <w:szCs w:val="24"/>
        </w:rPr>
        <w:t>Cette offre est destinée en premier lieu aux adhérents de l’</w:t>
      </w:r>
      <w:proofErr w:type="spellStart"/>
      <w:r w:rsidR="00551EE6">
        <w:rPr>
          <w:sz w:val="24"/>
          <w:szCs w:val="24"/>
        </w:rPr>
        <w:t>Unadel</w:t>
      </w:r>
      <w:proofErr w:type="spellEnd"/>
      <w:r w:rsidR="00551EE6">
        <w:rPr>
          <w:sz w:val="24"/>
          <w:szCs w:val="24"/>
        </w:rPr>
        <w:t xml:space="preserve">, mais elle est aussi ouverte aux non adhérents. </w:t>
      </w:r>
      <w:r w:rsidR="003F090D">
        <w:rPr>
          <w:sz w:val="24"/>
          <w:szCs w:val="24"/>
        </w:rPr>
        <w:t>Elle vise en particulier à valoriser l’acte d’adhésion à l’</w:t>
      </w:r>
      <w:proofErr w:type="spellStart"/>
      <w:r w:rsidR="003F090D">
        <w:rPr>
          <w:sz w:val="24"/>
          <w:szCs w:val="24"/>
        </w:rPr>
        <w:t>Unadel</w:t>
      </w:r>
      <w:proofErr w:type="spellEnd"/>
      <w:r w:rsidR="003F090D">
        <w:rPr>
          <w:sz w:val="24"/>
          <w:szCs w:val="24"/>
        </w:rPr>
        <w:t xml:space="preserve"> notamment de la part d’intercommunalités, de Pôles et de pays et de collectivités. </w:t>
      </w:r>
      <w:r w:rsidR="00551EE6" w:rsidRPr="00551EE6">
        <w:rPr>
          <w:sz w:val="24"/>
          <w:szCs w:val="24"/>
        </w:rPr>
        <w:t>L’adhésion d’une personne morale  (association, EPCI, collectivité…) à l’</w:t>
      </w:r>
      <w:proofErr w:type="spellStart"/>
      <w:r w:rsidR="00551EE6" w:rsidRPr="00551EE6">
        <w:rPr>
          <w:sz w:val="24"/>
          <w:szCs w:val="24"/>
        </w:rPr>
        <w:t>Unadel</w:t>
      </w:r>
      <w:proofErr w:type="spellEnd"/>
      <w:r w:rsidR="00551EE6" w:rsidRPr="00551EE6">
        <w:rPr>
          <w:sz w:val="24"/>
          <w:szCs w:val="24"/>
        </w:rPr>
        <w:t xml:space="preserve"> réduit de 50 %</w:t>
      </w:r>
      <w:r w:rsidR="003F090D">
        <w:rPr>
          <w:rStyle w:val="Appelnotedebasdep"/>
          <w:sz w:val="24"/>
          <w:szCs w:val="24"/>
        </w:rPr>
        <w:footnoteReference w:id="1"/>
      </w:r>
      <w:r w:rsidR="00551EE6" w:rsidRPr="00551EE6">
        <w:rPr>
          <w:sz w:val="24"/>
          <w:szCs w:val="24"/>
        </w:rPr>
        <w:t xml:space="preserve"> à 80 %</w:t>
      </w:r>
      <w:r w:rsidR="003F090D">
        <w:rPr>
          <w:rStyle w:val="Appelnotedebasdep"/>
          <w:sz w:val="24"/>
          <w:szCs w:val="24"/>
        </w:rPr>
        <w:footnoteReference w:id="2"/>
      </w:r>
      <w:r w:rsidR="00551EE6" w:rsidRPr="00551EE6">
        <w:rPr>
          <w:sz w:val="24"/>
          <w:szCs w:val="24"/>
        </w:rPr>
        <w:t xml:space="preserve"> le montant de l’inscription aux formations et séminaires. Les inscriptions de non adhérents aux journées de formation sont fonction des places disponibles.</w:t>
      </w:r>
      <w:r w:rsidR="004D6DB3">
        <w:rPr>
          <w:sz w:val="24"/>
          <w:szCs w:val="24"/>
        </w:rPr>
        <w:t xml:space="preserve"> </w:t>
      </w:r>
    </w:p>
    <w:p w:rsidR="00B10630" w:rsidRDefault="004D6DB3" w:rsidP="00B10630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435FA">
        <w:rPr>
          <w:sz w:val="24"/>
          <w:szCs w:val="24"/>
        </w:rPr>
        <w:t>ifférents types de</w:t>
      </w:r>
      <w:r w:rsidR="001A5A58">
        <w:rPr>
          <w:sz w:val="24"/>
          <w:szCs w:val="24"/>
        </w:rPr>
        <w:t xml:space="preserve"> </w:t>
      </w:r>
      <w:r w:rsidR="00940729">
        <w:rPr>
          <w:sz w:val="24"/>
          <w:szCs w:val="24"/>
        </w:rPr>
        <w:t>formation</w:t>
      </w:r>
      <w:r w:rsidR="001A5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sont </w:t>
      </w:r>
      <w:r w:rsidR="001A5A58">
        <w:rPr>
          <w:sz w:val="24"/>
          <w:szCs w:val="24"/>
        </w:rPr>
        <w:t>proposés :</w:t>
      </w:r>
    </w:p>
    <w:p w:rsidR="00646189" w:rsidRDefault="00646189" w:rsidP="00375382">
      <w:pPr>
        <w:pStyle w:val="Paragraphedeliste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62FF4">
        <w:rPr>
          <w:b/>
          <w:sz w:val="24"/>
          <w:szCs w:val="24"/>
        </w:rPr>
        <w:t>L</w:t>
      </w:r>
      <w:r w:rsidR="00940729">
        <w:rPr>
          <w:b/>
          <w:sz w:val="24"/>
          <w:szCs w:val="24"/>
        </w:rPr>
        <w:t>es</w:t>
      </w:r>
      <w:r w:rsidRPr="00662FF4">
        <w:rPr>
          <w:b/>
          <w:sz w:val="24"/>
          <w:szCs w:val="24"/>
        </w:rPr>
        <w:t xml:space="preserve"> journée</w:t>
      </w:r>
      <w:r w:rsidR="00940729">
        <w:rPr>
          <w:b/>
          <w:sz w:val="24"/>
          <w:szCs w:val="24"/>
        </w:rPr>
        <w:t>s</w:t>
      </w:r>
      <w:r w:rsidRPr="00662FF4">
        <w:rPr>
          <w:b/>
          <w:sz w:val="24"/>
          <w:szCs w:val="24"/>
        </w:rPr>
        <w:t xml:space="preserve"> </w:t>
      </w:r>
      <w:r w:rsidR="00AD4EF1">
        <w:rPr>
          <w:b/>
          <w:sz w:val="24"/>
          <w:szCs w:val="24"/>
        </w:rPr>
        <w:t xml:space="preserve">nationales </w:t>
      </w:r>
      <w:r w:rsidRPr="00662FF4">
        <w:rPr>
          <w:b/>
          <w:sz w:val="24"/>
          <w:szCs w:val="24"/>
        </w:rPr>
        <w:t>de formation</w:t>
      </w:r>
      <w:r w:rsidR="00B3103C">
        <w:rPr>
          <w:sz w:val="24"/>
          <w:szCs w:val="24"/>
        </w:rPr>
        <w:t xml:space="preserve"> </w:t>
      </w:r>
      <w:r w:rsidR="0017626A">
        <w:rPr>
          <w:sz w:val="24"/>
          <w:szCs w:val="24"/>
        </w:rPr>
        <w:t xml:space="preserve">ciblent un thème par </w:t>
      </w:r>
      <w:r>
        <w:rPr>
          <w:sz w:val="24"/>
          <w:szCs w:val="24"/>
        </w:rPr>
        <w:t>journée</w:t>
      </w:r>
      <w:r w:rsidR="0017626A">
        <w:rPr>
          <w:sz w:val="24"/>
          <w:szCs w:val="24"/>
        </w:rPr>
        <w:t xml:space="preserve"> et </w:t>
      </w:r>
      <w:r w:rsidR="001476CE">
        <w:rPr>
          <w:sz w:val="24"/>
          <w:szCs w:val="24"/>
        </w:rPr>
        <w:t>se déroule</w:t>
      </w:r>
      <w:r>
        <w:rPr>
          <w:sz w:val="24"/>
          <w:szCs w:val="24"/>
        </w:rPr>
        <w:t xml:space="preserve">nt </w:t>
      </w:r>
      <w:r w:rsidR="0017626A" w:rsidRPr="001476CE">
        <w:rPr>
          <w:sz w:val="24"/>
          <w:szCs w:val="24"/>
          <w:u w:val="single"/>
        </w:rPr>
        <w:t>à Paris</w:t>
      </w:r>
      <w:r>
        <w:rPr>
          <w:sz w:val="24"/>
          <w:szCs w:val="24"/>
        </w:rPr>
        <w:t>.</w:t>
      </w:r>
      <w:r w:rsidR="0029227B">
        <w:rPr>
          <w:sz w:val="24"/>
          <w:szCs w:val="24"/>
        </w:rPr>
        <w:t xml:space="preserve"> </w:t>
      </w:r>
      <w:r w:rsidR="003F090D">
        <w:rPr>
          <w:sz w:val="24"/>
          <w:szCs w:val="24"/>
        </w:rPr>
        <w:t>L</w:t>
      </w:r>
      <w:r w:rsidR="001A5A58">
        <w:rPr>
          <w:sz w:val="24"/>
          <w:szCs w:val="24"/>
        </w:rPr>
        <w:t xml:space="preserve">es thèmes </w:t>
      </w:r>
      <w:r w:rsidR="003F090D">
        <w:rPr>
          <w:sz w:val="24"/>
          <w:szCs w:val="24"/>
        </w:rPr>
        <w:t>sont déterminés par l’</w:t>
      </w:r>
      <w:proofErr w:type="spellStart"/>
      <w:r w:rsidR="003F090D">
        <w:rPr>
          <w:sz w:val="24"/>
          <w:szCs w:val="24"/>
        </w:rPr>
        <w:t>Unadel</w:t>
      </w:r>
      <w:proofErr w:type="spellEnd"/>
      <w:r w:rsidR="003F090D">
        <w:rPr>
          <w:sz w:val="24"/>
          <w:szCs w:val="24"/>
        </w:rPr>
        <w:t xml:space="preserve"> et ses partenaires (ARDL, CPL, Arènes, CNCD…)</w:t>
      </w:r>
      <w:r w:rsidR="004D6DB3">
        <w:rPr>
          <w:sz w:val="24"/>
          <w:szCs w:val="24"/>
        </w:rPr>
        <w:t xml:space="preserve"> et sont répartis sur l’ensemble de l’année</w:t>
      </w:r>
      <w:r w:rsidR="003F090D">
        <w:rPr>
          <w:sz w:val="24"/>
          <w:szCs w:val="24"/>
        </w:rPr>
        <w:t xml:space="preserve">. </w:t>
      </w:r>
      <w:r w:rsidR="009435FA">
        <w:rPr>
          <w:sz w:val="24"/>
          <w:szCs w:val="24"/>
        </w:rPr>
        <w:t>Les tarifs comprennent le déjeuner, mais ils ne comprennent pas le déplacement et l’hébergement des participants.</w:t>
      </w:r>
    </w:p>
    <w:p w:rsidR="00940729" w:rsidRPr="00551EE6" w:rsidRDefault="00940729" w:rsidP="00940729">
      <w:pPr>
        <w:pStyle w:val="Paragraphedeliste"/>
        <w:ind w:left="284"/>
        <w:jc w:val="both"/>
        <w:rPr>
          <w:sz w:val="16"/>
          <w:szCs w:val="16"/>
        </w:rPr>
      </w:pPr>
    </w:p>
    <w:p w:rsidR="00940729" w:rsidRPr="00940729" w:rsidRDefault="00940729" w:rsidP="00940729">
      <w:pPr>
        <w:pStyle w:val="Paragraphedeliste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Les</w:t>
      </w:r>
      <w:r w:rsidR="00646189" w:rsidRPr="00662FF4">
        <w:rPr>
          <w:b/>
          <w:sz w:val="24"/>
          <w:szCs w:val="24"/>
        </w:rPr>
        <w:t xml:space="preserve"> formation</w:t>
      </w:r>
      <w:r>
        <w:rPr>
          <w:b/>
          <w:sz w:val="24"/>
          <w:szCs w:val="24"/>
        </w:rPr>
        <w:t>s</w:t>
      </w:r>
      <w:r w:rsidR="00646189" w:rsidRPr="00662FF4">
        <w:rPr>
          <w:b/>
          <w:sz w:val="24"/>
          <w:szCs w:val="24"/>
        </w:rPr>
        <w:t>-action</w:t>
      </w:r>
      <w:r>
        <w:rPr>
          <w:b/>
          <w:sz w:val="24"/>
          <w:szCs w:val="24"/>
        </w:rPr>
        <w:t>s</w:t>
      </w:r>
      <w:r w:rsidR="00646189">
        <w:rPr>
          <w:sz w:val="24"/>
          <w:szCs w:val="24"/>
        </w:rPr>
        <w:t> </w:t>
      </w:r>
      <w:r w:rsidR="0017626A">
        <w:rPr>
          <w:sz w:val="24"/>
          <w:szCs w:val="24"/>
        </w:rPr>
        <w:t>constituent</w:t>
      </w:r>
      <w:r w:rsidR="00646189">
        <w:rPr>
          <w:sz w:val="24"/>
          <w:szCs w:val="24"/>
        </w:rPr>
        <w:t xml:space="preserve"> une série d’</w:t>
      </w:r>
      <w:r w:rsidR="0017626A">
        <w:rPr>
          <w:sz w:val="24"/>
          <w:szCs w:val="24"/>
        </w:rPr>
        <w:t xml:space="preserve">interventions </w:t>
      </w:r>
      <w:r w:rsidR="0017626A" w:rsidRPr="00B3103C">
        <w:rPr>
          <w:sz w:val="24"/>
          <w:szCs w:val="24"/>
          <w:u w:val="single"/>
        </w:rPr>
        <w:t>sur le terrain.</w:t>
      </w:r>
      <w:r w:rsidR="00646189">
        <w:rPr>
          <w:sz w:val="24"/>
          <w:szCs w:val="24"/>
        </w:rPr>
        <w:t xml:space="preserve"> </w:t>
      </w:r>
      <w:r w:rsidR="0017626A">
        <w:rPr>
          <w:sz w:val="24"/>
          <w:szCs w:val="24"/>
        </w:rPr>
        <w:t xml:space="preserve">C’est </w:t>
      </w:r>
      <w:r w:rsidR="00646189">
        <w:rPr>
          <w:sz w:val="24"/>
          <w:szCs w:val="24"/>
        </w:rPr>
        <w:t>un accompagnement de démarche</w:t>
      </w:r>
      <w:r w:rsidR="00FC44B8">
        <w:rPr>
          <w:sz w:val="24"/>
          <w:szCs w:val="24"/>
        </w:rPr>
        <w:t>s</w:t>
      </w:r>
      <w:r w:rsidR="00646189">
        <w:rPr>
          <w:sz w:val="24"/>
          <w:szCs w:val="24"/>
        </w:rPr>
        <w:t xml:space="preserve"> de développement local et de pratique</w:t>
      </w:r>
      <w:r w:rsidR="00FC44B8">
        <w:rPr>
          <w:sz w:val="24"/>
          <w:szCs w:val="24"/>
        </w:rPr>
        <w:t>s</w:t>
      </w:r>
      <w:r w:rsidR="00646189">
        <w:rPr>
          <w:sz w:val="24"/>
          <w:szCs w:val="24"/>
        </w:rPr>
        <w:t xml:space="preserve"> participative</w:t>
      </w:r>
      <w:r w:rsidR="00FC44B8">
        <w:rPr>
          <w:sz w:val="24"/>
          <w:szCs w:val="24"/>
        </w:rPr>
        <w:t>s</w:t>
      </w:r>
      <w:r w:rsidR="0017626A">
        <w:rPr>
          <w:sz w:val="24"/>
          <w:szCs w:val="24"/>
        </w:rPr>
        <w:t xml:space="preserve"> qui </w:t>
      </w:r>
      <w:r w:rsidR="00646189">
        <w:rPr>
          <w:sz w:val="24"/>
          <w:szCs w:val="24"/>
        </w:rPr>
        <w:t xml:space="preserve"> s’étale sur plusieurs mois (parfois 2 ans).</w:t>
      </w:r>
      <w:r w:rsidR="00662FF4">
        <w:rPr>
          <w:sz w:val="24"/>
          <w:szCs w:val="24"/>
        </w:rPr>
        <w:t xml:space="preserve"> Elle</w:t>
      </w:r>
      <w:r>
        <w:rPr>
          <w:sz w:val="24"/>
          <w:szCs w:val="24"/>
        </w:rPr>
        <w:t>s</w:t>
      </w:r>
      <w:r w:rsidR="003F090D">
        <w:rPr>
          <w:sz w:val="24"/>
          <w:szCs w:val="24"/>
        </w:rPr>
        <w:t xml:space="preserve"> sont élaborées à la demande des acteurs locaux et</w:t>
      </w:r>
      <w:r w:rsidR="00662FF4">
        <w:rPr>
          <w:sz w:val="24"/>
          <w:szCs w:val="24"/>
        </w:rPr>
        <w:t xml:space="preserve"> peu</w:t>
      </w:r>
      <w:r>
        <w:rPr>
          <w:sz w:val="24"/>
          <w:szCs w:val="24"/>
        </w:rPr>
        <w:t>ven</w:t>
      </w:r>
      <w:r w:rsidR="00662FF4">
        <w:rPr>
          <w:sz w:val="24"/>
          <w:szCs w:val="24"/>
        </w:rPr>
        <w:t>t c</w:t>
      </w:r>
      <w:r>
        <w:rPr>
          <w:sz w:val="24"/>
          <w:szCs w:val="24"/>
        </w:rPr>
        <w:t xml:space="preserve">ibler </w:t>
      </w:r>
      <w:r w:rsidR="00662FF4">
        <w:rPr>
          <w:sz w:val="24"/>
          <w:szCs w:val="24"/>
        </w:rPr>
        <w:t xml:space="preserve">la création d’une instance </w:t>
      </w:r>
      <w:r>
        <w:rPr>
          <w:sz w:val="24"/>
          <w:szCs w:val="24"/>
        </w:rPr>
        <w:t xml:space="preserve">de concertation </w:t>
      </w:r>
      <w:r w:rsidR="00662FF4">
        <w:rPr>
          <w:sz w:val="24"/>
          <w:szCs w:val="24"/>
        </w:rPr>
        <w:t>ou sa redynamisation, l’accompagnement à la mise e</w:t>
      </w:r>
      <w:r>
        <w:rPr>
          <w:sz w:val="24"/>
          <w:szCs w:val="24"/>
        </w:rPr>
        <w:t>n</w:t>
      </w:r>
      <w:r w:rsidR="00662FF4">
        <w:rPr>
          <w:sz w:val="24"/>
          <w:szCs w:val="24"/>
        </w:rPr>
        <w:t xml:space="preserve"> place de nouvelles missions</w:t>
      </w:r>
      <w:r>
        <w:rPr>
          <w:sz w:val="24"/>
          <w:szCs w:val="24"/>
        </w:rPr>
        <w:t>, l’appui à l’élaboration d’une stratégie de développement</w:t>
      </w:r>
      <w:r w:rsidR="00662FF4">
        <w:rPr>
          <w:sz w:val="24"/>
          <w:szCs w:val="24"/>
        </w:rPr>
        <w:t xml:space="preserve"> etc.</w:t>
      </w:r>
    </w:p>
    <w:p w:rsidR="00940729" w:rsidRPr="00551EE6" w:rsidRDefault="00940729" w:rsidP="00940729">
      <w:pPr>
        <w:pStyle w:val="Paragraphedeliste"/>
        <w:ind w:left="284"/>
        <w:jc w:val="both"/>
        <w:rPr>
          <w:sz w:val="16"/>
          <w:szCs w:val="16"/>
        </w:rPr>
      </w:pPr>
    </w:p>
    <w:p w:rsidR="00646189" w:rsidRDefault="00940729" w:rsidP="00375382">
      <w:pPr>
        <w:pStyle w:val="Paragraphedeliste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Les</w:t>
      </w:r>
      <w:r w:rsidR="00646189" w:rsidRPr="00662FF4">
        <w:rPr>
          <w:b/>
          <w:sz w:val="24"/>
          <w:szCs w:val="24"/>
        </w:rPr>
        <w:t xml:space="preserve"> formation</w:t>
      </w:r>
      <w:r>
        <w:rPr>
          <w:b/>
          <w:sz w:val="24"/>
          <w:szCs w:val="24"/>
        </w:rPr>
        <w:t>s</w:t>
      </w:r>
      <w:r w:rsidR="00646189" w:rsidRPr="00662F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 </w:t>
      </w:r>
      <w:r w:rsidR="00646189" w:rsidRPr="00662FF4">
        <w:rPr>
          <w:b/>
          <w:sz w:val="24"/>
          <w:szCs w:val="24"/>
        </w:rPr>
        <w:t>à la carte</w:t>
      </w:r>
      <w:r>
        <w:rPr>
          <w:b/>
          <w:sz w:val="24"/>
          <w:szCs w:val="24"/>
        </w:rPr>
        <w:t> »</w:t>
      </w:r>
      <w:r w:rsidR="00646189">
        <w:rPr>
          <w:sz w:val="24"/>
          <w:szCs w:val="24"/>
        </w:rPr>
        <w:t> </w:t>
      </w:r>
      <w:r w:rsidR="00FC44B8">
        <w:rPr>
          <w:sz w:val="24"/>
          <w:szCs w:val="24"/>
        </w:rPr>
        <w:t>sont réalisées</w:t>
      </w:r>
      <w:r w:rsidR="004D6DB3">
        <w:rPr>
          <w:sz w:val="24"/>
          <w:szCs w:val="24"/>
        </w:rPr>
        <w:t xml:space="preserve"> </w:t>
      </w:r>
      <w:r w:rsidR="004D6DB3" w:rsidRPr="00B3103C">
        <w:rPr>
          <w:sz w:val="24"/>
          <w:szCs w:val="24"/>
          <w:u w:val="single"/>
        </w:rPr>
        <w:t>dans les territoires</w:t>
      </w:r>
      <w:r w:rsidR="004D6DB3">
        <w:rPr>
          <w:sz w:val="24"/>
          <w:szCs w:val="24"/>
        </w:rPr>
        <w:t xml:space="preserve"> </w:t>
      </w:r>
      <w:r w:rsidR="00FC44B8">
        <w:rPr>
          <w:sz w:val="24"/>
          <w:szCs w:val="24"/>
        </w:rPr>
        <w:t xml:space="preserve">sur une période resserrée, </w:t>
      </w:r>
      <w:r w:rsidR="004D6DB3">
        <w:rPr>
          <w:sz w:val="24"/>
          <w:szCs w:val="24"/>
        </w:rPr>
        <w:t xml:space="preserve">à la demande d’acteurs locaux (association, structure territoriale locale, départementale ou régionale) dans les </w:t>
      </w:r>
      <w:r w:rsidR="009B3266">
        <w:rPr>
          <w:sz w:val="24"/>
          <w:szCs w:val="24"/>
        </w:rPr>
        <w:t xml:space="preserve">grands </w:t>
      </w:r>
      <w:r w:rsidR="004D6DB3">
        <w:rPr>
          <w:sz w:val="24"/>
          <w:szCs w:val="24"/>
        </w:rPr>
        <w:t>champs thématiques travaillés par l’</w:t>
      </w:r>
      <w:proofErr w:type="spellStart"/>
      <w:r w:rsidR="004D6DB3">
        <w:rPr>
          <w:sz w:val="24"/>
          <w:szCs w:val="24"/>
        </w:rPr>
        <w:t>Unadel</w:t>
      </w:r>
      <w:proofErr w:type="spellEnd"/>
      <w:r w:rsidR="004D6DB3">
        <w:rPr>
          <w:sz w:val="24"/>
          <w:szCs w:val="24"/>
        </w:rPr>
        <w:t> (partici</w:t>
      </w:r>
      <w:r w:rsidR="009B3266">
        <w:rPr>
          <w:sz w:val="24"/>
          <w:szCs w:val="24"/>
        </w:rPr>
        <w:t xml:space="preserve">pation, </w:t>
      </w:r>
      <w:r w:rsidR="004D6DB3">
        <w:rPr>
          <w:sz w:val="24"/>
          <w:szCs w:val="24"/>
        </w:rPr>
        <w:lastRenderedPageBreak/>
        <w:t>développement local,</w:t>
      </w:r>
      <w:r w:rsidR="009B3266">
        <w:rPr>
          <w:sz w:val="24"/>
          <w:szCs w:val="24"/>
        </w:rPr>
        <w:t xml:space="preserve"> ingénierie territoriale,</w:t>
      </w:r>
      <w:r w:rsidR="004D6DB3">
        <w:rPr>
          <w:sz w:val="24"/>
          <w:szCs w:val="24"/>
        </w:rPr>
        <w:t xml:space="preserve"> décentralisation etc.). Le nombre d’interventions et la durée sont adaptés selon les besoins.</w:t>
      </w:r>
    </w:p>
    <w:p w:rsidR="00B3103C" w:rsidRPr="00B3103C" w:rsidRDefault="00B3103C" w:rsidP="00B3103C">
      <w:pPr>
        <w:pStyle w:val="Paragraphedeliste"/>
        <w:rPr>
          <w:sz w:val="24"/>
          <w:szCs w:val="24"/>
        </w:rPr>
      </w:pPr>
    </w:p>
    <w:p w:rsidR="00B3103C" w:rsidRPr="00B3103C" w:rsidRDefault="00B3103C" w:rsidP="00375382">
      <w:pPr>
        <w:pStyle w:val="Paragraphedeliste"/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 w:rsidRPr="00B3103C">
        <w:rPr>
          <w:b/>
          <w:sz w:val="24"/>
          <w:szCs w:val="24"/>
        </w:rPr>
        <w:t>Le séminaire itinérant</w:t>
      </w:r>
      <w:r w:rsidR="00AD4EF1">
        <w:rPr>
          <w:b/>
          <w:sz w:val="24"/>
          <w:szCs w:val="24"/>
        </w:rPr>
        <w:t xml:space="preserve"> </w:t>
      </w:r>
      <w:r w:rsidR="001476CE">
        <w:rPr>
          <w:sz w:val="24"/>
          <w:szCs w:val="24"/>
        </w:rPr>
        <w:t xml:space="preserve">correspond à un cycle annuel d’interventions </w:t>
      </w:r>
      <w:r w:rsidR="001476CE" w:rsidRPr="001476CE">
        <w:rPr>
          <w:sz w:val="24"/>
          <w:szCs w:val="24"/>
          <w:u w:val="single"/>
        </w:rPr>
        <w:t>dans les territoires</w:t>
      </w:r>
      <w:r w:rsidR="001476CE">
        <w:rPr>
          <w:sz w:val="24"/>
          <w:szCs w:val="24"/>
        </w:rPr>
        <w:t xml:space="preserve"> ruraux et urbains, </w:t>
      </w:r>
      <w:r w:rsidR="00FC44B8">
        <w:rPr>
          <w:sz w:val="24"/>
          <w:szCs w:val="24"/>
        </w:rPr>
        <w:t xml:space="preserve">qui sont </w:t>
      </w:r>
      <w:r w:rsidR="001476CE">
        <w:rPr>
          <w:sz w:val="24"/>
          <w:szCs w:val="24"/>
        </w:rPr>
        <w:t>réalisées à la demande des structures locales. C’est une action d’éducation populaire qui vise à expliciter les enjeux et les évolutions de la réforme territoriale, à informer et débattre des évolutions législatives de la décentralisation et de la démocratie locale. Chaque intervention dure une demi-journée.</w:t>
      </w:r>
    </w:p>
    <w:p w:rsidR="00B3103C" w:rsidRPr="00B3103C" w:rsidRDefault="00B3103C" w:rsidP="00B3103C">
      <w:pPr>
        <w:pStyle w:val="Paragraphedeliste"/>
        <w:rPr>
          <w:sz w:val="24"/>
          <w:szCs w:val="24"/>
        </w:rPr>
      </w:pPr>
    </w:p>
    <w:p w:rsidR="00E41F6E" w:rsidRPr="00E41F6E" w:rsidRDefault="00B3103C" w:rsidP="00E41F6E">
      <w:pPr>
        <w:pStyle w:val="Paragraphedeliste"/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 w:rsidRPr="00B3103C">
        <w:rPr>
          <w:b/>
          <w:sz w:val="24"/>
          <w:szCs w:val="24"/>
        </w:rPr>
        <w:t>Les autres interventions</w:t>
      </w:r>
      <w:r w:rsidR="00756F60">
        <w:rPr>
          <w:sz w:val="24"/>
          <w:szCs w:val="24"/>
        </w:rPr>
        <w:t xml:space="preserve"> sont des interventions ponctuelles ou régulières</w:t>
      </w:r>
      <w:r w:rsidR="0082447E">
        <w:rPr>
          <w:sz w:val="24"/>
          <w:szCs w:val="24"/>
        </w:rPr>
        <w:t>, sous forme de prestations</w:t>
      </w:r>
      <w:r w:rsidR="00756F60">
        <w:rPr>
          <w:sz w:val="24"/>
          <w:szCs w:val="24"/>
        </w:rPr>
        <w:t xml:space="preserve"> auprès d’autres organismes (CGET, associations…)</w:t>
      </w:r>
      <w:r w:rsidR="0082447E">
        <w:rPr>
          <w:sz w:val="24"/>
          <w:szCs w:val="24"/>
        </w:rPr>
        <w:t xml:space="preserve"> et ciblent les domaines de la participation, du développement local, de l’ingénierie territoriale, de la décentralisation.</w:t>
      </w:r>
    </w:p>
    <w:p w:rsidR="00E41F6E" w:rsidRPr="00E41F6E" w:rsidRDefault="00E41F6E" w:rsidP="00E41F6E">
      <w:pPr>
        <w:pStyle w:val="Paragraphedeliste"/>
        <w:rPr>
          <w:b/>
          <w:sz w:val="24"/>
          <w:szCs w:val="24"/>
        </w:rPr>
      </w:pPr>
    </w:p>
    <w:p w:rsidR="00E41F6E" w:rsidRPr="00E41F6E" w:rsidRDefault="00E41F6E" w:rsidP="00E41F6E">
      <w:pPr>
        <w:pStyle w:val="Paragraphedeliste"/>
        <w:ind w:left="284"/>
        <w:jc w:val="both"/>
        <w:rPr>
          <w:b/>
          <w:sz w:val="24"/>
          <w:szCs w:val="24"/>
        </w:rPr>
      </w:pPr>
    </w:p>
    <w:p w:rsidR="00375382" w:rsidRPr="00CB4ABD" w:rsidRDefault="00E41F6E" w:rsidP="00CB4ABD">
      <w:pPr>
        <w:pStyle w:val="Paragraphedeliste"/>
        <w:numPr>
          <w:ilvl w:val="0"/>
          <w:numId w:val="5"/>
        </w:numPr>
        <w:rPr>
          <w:b/>
          <w:smallCaps/>
          <w:sz w:val="32"/>
          <w:szCs w:val="32"/>
        </w:rPr>
      </w:pPr>
      <w:r w:rsidRPr="00CB4ABD">
        <w:rPr>
          <w:b/>
          <w:smallCaps/>
          <w:sz w:val="32"/>
          <w:szCs w:val="32"/>
        </w:rPr>
        <w:t>Programme des</w:t>
      </w:r>
      <w:r w:rsidR="00B3103C" w:rsidRPr="00CB4ABD">
        <w:rPr>
          <w:b/>
          <w:smallCaps/>
          <w:sz w:val="32"/>
          <w:szCs w:val="32"/>
        </w:rPr>
        <w:t xml:space="preserve"> </w:t>
      </w:r>
      <w:r w:rsidR="00940729" w:rsidRPr="00CB4ABD">
        <w:rPr>
          <w:b/>
          <w:smallCaps/>
          <w:sz w:val="32"/>
          <w:szCs w:val="32"/>
        </w:rPr>
        <w:t xml:space="preserve">journées </w:t>
      </w:r>
      <w:r w:rsidR="00B3103C" w:rsidRPr="00CB4ABD">
        <w:rPr>
          <w:b/>
          <w:smallCaps/>
          <w:sz w:val="32"/>
          <w:szCs w:val="32"/>
        </w:rPr>
        <w:t>nationale</w:t>
      </w:r>
      <w:r w:rsidR="00AD4EF1" w:rsidRPr="00CB4ABD">
        <w:rPr>
          <w:b/>
          <w:smallCaps/>
          <w:sz w:val="32"/>
          <w:szCs w:val="32"/>
        </w:rPr>
        <w:t>s de formation</w:t>
      </w:r>
    </w:p>
    <w:p w:rsidR="00940729" w:rsidRPr="004D6DB3" w:rsidRDefault="00940729" w:rsidP="00CB4ABD">
      <w:pPr>
        <w:pStyle w:val="Paragraphedeliste"/>
        <w:ind w:left="0"/>
        <w:jc w:val="center"/>
        <w:rPr>
          <w:color w:val="E36C0A" w:themeColor="accent6" w:themeShade="BF"/>
          <w:sz w:val="16"/>
          <w:szCs w:val="16"/>
        </w:rPr>
      </w:pPr>
    </w:p>
    <w:p w:rsidR="00940729" w:rsidRPr="00940729" w:rsidRDefault="00940729" w:rsidP="00CB4ABD">
      <w:pPr>
        <w:pStyle w:val="Paragraphedeliste"/>
        <w:ind w:left="0"/>
        <w:jc w:val="center"/>
        <w:rPr>
          <w:color w:val="E36C0A" w:themeColor="accent6" w:themeShade="BF"/>
          <w:sz w:val="24"/>
          <w:szCs w:val="24"/>
        </w:rPr>
      </w:pPr>
    </w:p>
    <w:p w:rsidR="00C245D4" w:rsidRPr="000E242B" w:rsidRDefault="00375382" w:rsidP="00940729">
      <w:pPr>
        <w:pStyle w:val="Paragraphedeliste"/>
        <w:ind w:left="0"/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Avril 2015  - </w:t>
      </w:r>
      <w:r w:rsidR="0017626A">
        <w:rPr>
          <w:b/>
          <w:color w:val="E36C0A" w:themeColor="accent6" w:themeShade="BF"/>
          <w:sz w:val="28"/>
          <w:szCs w:val="28"/>
        </w:rPr>
        <w:t>« </w:t>
      </w:r>
      <w:r w:rsidR="00206E3C">
        <w:rPr>
          <w:b/>
          <w:color w:val="E36C0A" w:themeColor="accent6" w:themeShade="BF"/>
          <w:sz w:val="28"/>
          <w:szCs w:val="28"/>
        </w:rPr>
        <w:t xml:space="preserve">Animer un conseil de développement </w:t>
      </w:r>
      <w:r w:rsidR="0017626A">
        <w:rPr>
          <w:b/>
          <w:color w:val="E36C0A" w:themeColor="accent6" w:themeShade="BF"/>
          <w:sz w:val="28"/>
          <w:szCs w:val="28"/>
        </w:rPr>
        <w:t>»</w:t>
      </w:r>
    </w:p>
    <w:p w:rsidR="00C245D4" w:rsidRDefault="00C245D4" w:rsidP="00C245D4">
      <w:pPr>
        <w:jc w:val="both"/>
        <w:rPr>
          <w:sz w:val="24"/>
          <w:szCs w:val="24"/>
        </w:rPr>
      </w:pPr>
      <w:r w:rsidRPr="00C245D4">
        <w:rPr>
          <w:sz w:val="24"/>
          <w:szCs w:val="24"/>
          <w:u w:val="single"/>
        </w:rPr>
        <w:t>Publics ciblés :</w:t>
      </w:r>
      <w:r>
        <w:rPr>
          <w:sz w:val="24"/>
          <w:szCs w:val="24"/>
        </w:rPr>
        <w:t xml:space="preserve"> Les agents de développement des pays, PNR, intercommunalités et communes, en charge dédiés à l’animatio</w:t>
      </w:r>
      <w:r w:rsidR="00206E3C">
        <w:rPr>
          <w:sz w:val="24"/>
          <w:szCs w:val="24"/>
        </w:rPr>
        <w:t>n des conseils de développement.</w:t>
      </w:r>
    </w:p>
    <w:p w:rsidR="00EF6B55" w:rsidRPr="00EF6B55" w:rsidRDefault="00EF6B55" w:rsidP="00C245D4">
      <w:pPr>
        <w:jc w:val="both"/>
        <w:rPr>
          <w:sz w:val="24"/>
          <w:szCs w:val="24"/>
        </w:rPr>
      </w:pPr>
      <w:r w:rsidRPr="00EF6B55">
        <w:rPr>
          <w:sz w:val="24"/>
          <w:szCs w:val="24"/>
          <w:u w:val="single"/>
        </w:rPr>
        <w:t>Contenu :</w:t>
      </w:r>
      <w:r w:rsidRPr="00EF6B55">
        <w:rPr>
          <w:sz w:val="24"/>
          <w:szCs w:val="24"/>
        </w:rPr>
        <w:t xml:space="preserve"> </w:t>
      </w:r>
      <w:r>
        <w:rPr>
          <w:sz w:val="24"/>
          <w:szCs w:val="24"/>
        </w:rPr>
        <w:t>les fonctions et méthodes d’animation, la relation aux élus, les relations professionnel &amp; bénévoles au sein de l’instance, développer l’ancrage territorial,  renforcer la dynamique participative, les finalités et modes de production.</w:t>
      </w:r>
    </w:p>
    <w:p w:rsidR="00C245D4" w:rsidRDefault="0003308B" w:rsidP="00C245D4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Format</w:t>
      </w:r>
      <w:r w:rsidR="00C245D4" w:rsidRPr="00C245D4">
        <w:rPr>
          <w:sz w:val="24"/>
          <w:szCs w:val="24"/>
          <w:u w:val="single"/>
        </w:rPr>
        <w:t> :</w:t>
      </w:r>
      <w:r w:rsidR="00C245D4">
        <w:rPr>
          <w:sz w:val="24"/>
          <w:szCs w:val="24"/>
        </w:rPr>
        <w:t xml:space="preserve"> 1 journée (10H – 17H)</w:t>
      </w:r>
    </w:p>
    <w:p w:rsidR="00C245D4" w:rsidRPr="00C245D4" w:rsidRDefault="00C245D4" w:rsidP="00C245D4">
      <w:pPr>
        <w:jc w:val="both"/>
        <w:rPr>
          <w:sz w:val="24"/>
          <w:szCs w:val="24"/>
        </w:rPr>
      </w:pPr>
      <w:r w:rsidRPr="00C245D4">
        <w:rPr>
          <w:sz w:val="24"/>
          <w:szCs w:val="24"/>
          <w:u w:val="single"/>
        </w:rPr>
        <w:t>Lieu :</w:t>
      </w:r>
      <w:r>
        <w:rPr>
          <w:sz w:val="24"/>
          <w:szCs w:val="24"/>
        </w:rPr>
        <w:t xml:space="preserve"> Paris</w:t>
      </w:r>
      <w:r w:rsidR="00EF6B55">
        <w:rPr>
          <w:sz w:val="24"/>
          <w:szCs w:val="24"/>
        </w:rPr>
        <w:t xml:space="preserve"> (locaux de l’</w:t>
      </w:r>
      <w:proofErr w:type="spellStart"/>
      <w:r w:rsidR="00EF6B55">
        <w:rPr>
          <w:sz w:val="24"/>
          <w:szCs w:val="24"/>
        </w:rPr>
        <w:t>Unadel</w:t>
      </w:r>
      <w:proofErr w:type="spellEnd"/>
      <w:r w:rsidR="00EF6B55">
        <w:rPr>
          <w:sz w:val="24"/>
          <w:szCs w:val="24"/>
        </w:rPr>
        <w:t> : 150-154, rue du Faubourg Saint Martin – 75010 Paris)</w:t>
      </w:r>
    </w:p>
    <w:p w:rsidR="00EF6B55" w:rsidRDefault="00C245D4" w:rsidP="00C245D4">
      <w:pPr>
        <w:jc w:val="both"/>
        <w:rPr>
          <w:sz w:val="24"/>
          <w:szCs w:val="24"/>
        </w:rPr>
      </w:pPr>
      <w:r w:rsidRPr="00C245D4">
        <w:rPr>
          <w:sz w:val="24"/>
          <w:szCs w:val="24"/>
          <w:u w:val="single"/>
        </w:rPr>
        <w:t>Tarifs :</w:t>
      </w:r>
      <w:r>
        <w:rPr>
          <w:sz w:val="24"/>
          <w:szCs w:val="24"/>
        </w:rPr>
        <w:t xml:space="preserve"> </w:t>
      </w:r>
    </w:p>
    <w:p w:rsidR="0003308B" w:rsidRDefault="00EF6B55" w:rsidP="0003308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3308B">
        <w:rPr>
          <w:sz w:val="24"/>
          <w:szCs w:val="24"/>
        </w:rPr>
        <w:t xml:space="preserve">Collectivité, EPCI, syndicat mixte : </w:t>
      </w:r>
      <w:r w:rsidR="00310761">
        <w:rPr>
          <w:sz w:val="24"/>
          <w:szCs w:val="24"/>
        </w:rPr>
        <w:t>30</w:t>
      </w:r>
      <w:r w:rsidRPr="0003308B">
        <w:rPr>
          <w:sz w:val="24"/>
          <w:szCs w:val="24"/>
        </w:rPr>
        <w:t>0 €TTC / personne</w:t>
      </w:r>
    </w:p>
    <w:p w:rsidR="00375382" w:rsidRDefault="00EF6B55" w:rsidP="004D6DB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3308B">
        <w:rPr>
          <w:sz w:val="24"/>
          <w:szCs w:val="24"/>
        </w:rPr>
        <w:t>Association :</w:t>
      </w:r>
      <w:r w:rsidR="0029227B">
        <w:rPr>
          <w:sz w:val="24"/>
          <w:szCs w:val="24"/>
        </w:rPr>
        <w:t xml:space="preserve"> 20</w:t>
      </w:r>
      <w:r w:rsidRPr="0003308B">
        <w:rPr>
          <w:sz w:val="24"/>
          <w:szCs w:val="24"/>
        </w:rPr>
        <w:t>0 €TTC / personne</w:t>
      </w:r>
    </w:p>
    <w:p w:rsidR="00206E3C" w:rsidRDefault="00206E3C" w:rsidP="00206E3C">
      <w:pPr>
        <w:rPr>
          <w:sz w:val="24"/>
          <w:szCs w:val="24"/>
        </w:rPr>
      </w:pPr>
      <w:r w:rsidRPr="00206E3C">
        <w:rPr>
          <w:sz w:val="24"/>
          <w:szCs w:val="24"/>
          <w:u w:val="single"/>
        </w:rPr>
        <w:t>Partenariat</w:t>
      </w:r>
      <w:r>
        <w:rPr>
          <w:sz w:val="24"/>
          <w:szCs w:val="24"/>
          <w:u w:val="single"/>
        </w:rPr>
        <w:t> :</w:t>
      </w:r>
      <w:r>
        <w:rPr>
          <w:sz w:val="24"/>
          <w:szCs w:val="24"/>
        </w:rPr>
        <w:t xml:space="preserve"> Cette formation est </w:t>
      </w:r>
      <w:proofErr w:type="spellStart"/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>-organisée avec l’ARDL Paca.</w:t>
      </w:r>
    </w:p>
    <w:p w:rsidR="004D6DB3" w:rsidRDefault="00206E3C" w:rsidP="00F73765">
      <w:pPr>
        <w:rPr>
          <w:sz w:val="24"/>
          <w:szCs w:val="24"/>
        </w:rPr>
      </w:pPr>
      <w:r w:rsidRPr="00206E3C">
        <w:rPr>
          <w:sz w:val="24"/>
          <w:szCs w:val="24"/>
          <w:u w:val="single"/>
        </w:rPr>
        <w:t>Intervenants </w:t>
      </w:r>
      <w:r>
        <w:rPr>
          <w:sz w:val="24"/>
          <w:szCs w:val="24"/>
        </w:rPr>
        <w:t>: Laurent BIELICKI, Stéphane LOUKIANOFF</w:t>
      </w:r>
    </w:p>
    <w:p w:rsidR="00C515E4" w:rsidRDefault="00C515E4" w:rsidP="00F73765">
      <w:pPr>
        <w:rPr>
          <w:sz w:val="24"/>
          <w:szCs w:val="24"/>
        </w:rPr>
      </w:pPr>
    </w:p>
    <w:p w:rsidR="00C515E4" w:rsidRDefault="00C515E4" w:rsidP="00F73765">
      <w:pPr>
        <w:rPr>
          <w:sz w:val="24"/>
          <w:szCs w:val="24"/>
        </w:rPr>
      </w:pPr>
    </w:p>
    <w:p w:rsidR="00C515E4" w:rsidRPr="00F73765" w:rsidRDefault="00C515E4" w:rsidP="00F73765">
      <w:pPr>
        <w:rPr>
          <w:sz w:val="24"/>
          <w:szCs w:val="24"/>
        </w:rPr>
      </w:pPr>
    </w:p>
    <w:p w:rsidR="00375382" w:rsidRDefault="00375382" w:rsidP="00375382">
      <w:pPr>
        <w:pStyle w:val="Paragraphedeliste"/>
        <w:pBdr>
          <w:top w:val="single" w:sz="4" w:space="1" w:color="auto"/>
        </w:pBdr>
        <w:ind w:left="0"/>
        <w:jc w:val="center"/>
        <w:rPr>
          <w:b/>
          <w:color w:val="E36C0A" w:themeColor="accent6" w:themeShade="BF"/>
          <w:sz w:val="28"/>
          <w:szCs w:val="28"/>
        </w:rPr>
      </w:pPr>
    </w:p>
    <w:p w:rsidR="00375382" w:rsidRPr="000E242B" w:rsidRDefault="00375382" w:rsidP="00375382">
      <w:pPr>
        <w:pStyle w:val="Paragraphedeliste"/>
        <w:pBdr>
          <w:top w:val="single" w:sz="4" w:space="1" w:color="auto"/>
        </w:pBdr>
        <w:ind w:left="0"/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Mai 2015  - </w:t>
      </w:r>
      <w:r w:rsidR="0017626A">
        <w:rPr>
          <w:b/>
          <w:color w:val="E36C0A" w:themeColor="accent6" w:themeShade="BF"/>
          <w:sz w:val="28"/>
          <w:szCs w:val="28"/>
        </w:rPr>
        <w:t>« </w:t>
      </w:r>
      <w:r>
        <w:rPr>
          <w:b/>
          <w:color w:val="E36C0A" w:themeColor="accent6" w:themeShade="BF"/>
          <w:sz w:val="28"/>
          <w:szCs w:val="28"/>
        </w:rPr>
        <w:t>Créer et animer un conseil citoyen</w:t>
      </w:r>
      <w:r w:rsidR="0017626A">
        <w:rPr>
          <w:b/>
          <w:color w:val="E36C0A" w:themeColor="accent6" w:themeShade="BF"/>
          <w:sz w:val="28"/>
          <w:szCs w:val="28"/>
        </w:rPr>
        <w:t> »</w:t>
      </w:r>
    </w:p>
    <w:p w:rsidR="00375382" w:rsidRPr="00F73765" w:rsidRDefault="00375382" w:rsidP="0029227B">
      <w:pPr>
        <w:pStyle w:val="NormalWeb"/>
        <w:jc w:val="both"/>
        <w:rPr>
          <w:rFonts w:asciiTheme="minorHAnsi" w:hAnsiTheme="minorHAnsi" w:cstheme="minorHAnsi"/>
        </w:rPr>
      </w:pPr>
      <w:r w:rsidRPr="00F73765">
        <w:rPr>
          <w:rFonts w:asciiTheme="minorHAnsi" w:hAnsiTheme="minorHAnsi" w:cstheme="minorHAnsi"/>
          <w:u w:val="single"/>
        </w:rPr>
        <w:t>Publics ciblés :</w:t>
      </w:r>
      <w:r w:rsidRPr="00F73765">
        <w:rPr>
          <w:rFonts w:asciiTheme="minorHAnsi" w:hAnsiTheme="minorHAnsi" w:cstheme="minorHAnsi"/>
        </w:rPr>
        <w:t xml:space="preserve"> </w:t>
      </w:r>
      <w:r w:rsidR="00F73765" w:rsidRPr="00F73765">
        <w:rPr>
          <w:rFonts w:asciiTheme="minorHAnsi" w:hAnsiTheme="minorHAnsi" w:cstheme="minorHAnsi"/>
        </w:rPr>
        <w:t>Agents de développement et élus locaux, services des collectivités territoriales, chargés de mission</w:t>
      </w:r>
      <w:r w:rsidR="00F73765">
        <w:rPr>
          <w:rFonts w:asciiTheme="minorHAnsi" w:hAnsiTheme="minorHAnsi" w:cstheme="minorHAnsi"/>
        </w:rPr>
        <w:t xml:space="preserve">, </w:t>
      </w:r>
      <w:r w:rsidR="0029227B" w:rsidRPr="00F73765">
        <w:rPr>
          <w:rFonts w:asciiTheme="minorHAnsi" w:hAnsiTheme="minorHAnsi" w:cstheme="minorHAnsi"/>
        </w:rPr>
        <w:t>représentants d’habitants, de locataires et d’associations.</w:t>
      </w:r>
    </w:p>
    <w:p w:rsidR="00375382" w:rsidRPr="0029227B" w:rsidRDefault="00375382" w:rsidP="0029227B">
      <w:pPr>
        <w:pStyle w:val="NormalWeb"/>
        <w:jc w:val="both"/>
        <w:rPr>
          <w:rFonts w:asciiTheme="minorHAnsi" w:hAnsiTheme="minorHAnsi" w:cstheme="minorHAnsi"/>
        </w:rPr>
      </w:pPr>
      <w:r w:rsidRPr="0029227B">
        <w:rPr>
          <w:rFonts w:asciiTheme="minorHAnsi" w:hAnsiTheme="minorHAnsi" w:cstheme="minorHAnsi"/>
          <w:u w:val="single"/>
        </w:rPr>
        <w:t>Contenu :</w:t>
      </w:r>
      <w:r w:rsidRPr="0029227B">
        <w:rPr>
          <w:rFonts w:asciiTheme="minorHAnsi" w:hAnsiTheme="minorHAnsi" w:cstheme="minorHAnsi"/>
        </w:rPr>
        <w:t xml:space="preserve"> </w:t>
      </w:r>
      <w:r w:rsidR="00310761">
        <w:rPr>
          <w:rFonts w:asciiTheme="minorHAnsi" w:hAnsiTheme="minorHAnsi" w:cstheme="minorHAnsi"/>
        </w:rPr>
        <w:t>I</w:t>
      </w:r>
      <w:r w:rsidR="0029227B" w:rsidRPr="0029227B">
        <w:rPr>
          <w:rFonts w:asciiTheme="minorHAnsi" w:hAnsiTheme="minorHAnsi" w:cstheme="minorHAnsi"/>
        </w:rPr>
        <w:t>l s’agit de clarifier les étapes de création d’un conseil citoyen et ses enjeux, tout en donnant les clés permettant d’inscrire ce conseil dans la durée.</w:t>
      </w:r>
    </w:p>
    <w:p w:rsidR="00375382" w:rsidRPr="0029227B" w:rsidRDefault="00375382" w:rsidP="0029227B">
      <w:pPr>
        <w:spacing w:line="240" w:lineRule="auto"/>
        <w:jc w:val="both"/>
        <w:rPr>
          <w:rFonts w:cstheme="minorHAnsi"/>
          <w:sz w:val="24"/>
          <w:szCs w:val="24"/>
        </w:rPr>
      </w:pPr>
      <w:r w:rsidRPr="0029227B">
        <w:rPr>
          <w:rFonts w:cstheme="minorHAnsi"/>
          <w:sz w:val="24"/>
          <w:szCs w:val="24"/>
          <w:u w:val="single"/>
        </w:rPr>
        <w:t>Format :</w:t>
      </w:r>
      <w:r w:rsidRPr="0029227B">
        <w:rPr>
          <w:rFonts w:cstheme="minorHAnsi"/>
          <w:sz w:val="24"/>
          <w:szCs w:val="24"/>
        </w:rPr>
        <w:t xml:space="preserve"> 1 journée (10H – 17H)</w:t>
      </w:r>
    </w:p>
    <w:p w:rsidR="00375382" w:rsidRPr="00C245D4" w:rsidRDefault="00375382" w:rsidP="00375382">
      <w:pPr>
        <w:jc w:val="both"/>
        <w:rPr>
          <w:sz w:val="24"/>
          <w:szCs w:val="24"/>
        </w:rPr>
      </w:pPr>
      <w:r w:rsidRPr="0029227B">
        <w:rPr>
          <w:sz w:val="24"/>
          <w:szCs w:val="24"/>
          <w:u w:val="single"/>
        </w:rPr>
        <w:t>Lieu :</w:t>
      </w:r>
      <w:r w:rsidRPr="0029227B">
        <w:rPr>
          <w:sz w:val="24"/>
          <w:szCs w:val="24"/>
        </w:rPr>
        <w:t xml:space="preserve"> Paris (locaux</w:t>
      </w:r>
      <w:r>
        <w:rPr>
          <w:sz w:val="24"/>
          <w:szCs w:val="24"/>
        </w:rPr>
        <w:t xml:space="preserve"> de l’</w:t>
      </w:r>
      <w:proofErr w:type="spellStart"/>
      <w:r>
        <w:rPr>
          <w:sz w:val="24"/>
          <w:szCs w:val="24"/>
        </w:rPr>
        <w:t>Unadel</w:t>
      </w:r>
      <w:proofErr w:type="spellEnd"/>
      <w:r>
        <w:rPr>
          <w:sz w:val="24"/>
          <w:szCs w:val="24"/>
        </w:rPr>
        <w:t> : 150-154, rue du Faubourg Saint Martin – 75010 Paris)</w:t>
      </w:r>
    </w:p>
    <w:p w:rsidR="00375382" w:rsidRDefault="00375382" w:rsidP="00375382">
      <w:pPr>
        <w:jc w:val="both"/>
        <w:rPr>
          <w:sz w:val="24"/>
          <w:szCs w:val="24"/>
        </w:rPr>
      </w:pPr>
      <w:r w:rsidRPr="00C245D4">
        <w:rPr>
          <w:sz w:val="24"/>
          <w:szCs w:val="24"/>
          <w:u w:val="single"/>
        </w:rPr>
        <w:t>Tarifs :</w:t>
      </w:r>
      <w:r>
        <w:rPr>
          <w:sz w:val="24"/>
          <w:szCs w:val="24"/>
        </w:rPr>
        <w:t xml:space="preserve"> </w:t>
      </w:r>
    </w:p>
    <w:p w:rsidR="00375382" w:rsidRDefault="00375382" w:rsidP="0037538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3308B">
        <w:rPr>
          <w:sz w:val="24"/>
          <w:szCs w:val="24"/>
        </w:rPr>
        <w:t xml:space="preserve">Collectivité, EPCI, syndicat mixte : </w:t>
      </w:r>
      <w:r w:rsidR="0029227B">
        <w:rPr>
          <w:sz w:val="24"/>
          <w:szCs w:val="24"/>
        </w:rPr>
        <w:t>30</w:t>
      </w:r>
      <w:r w:rsidRPr="0003308B">
        <w:rPr>
          <w:sz w:val="24"/>
          <w:szCs w:val="24"/>
        </w:rPr>
        <w:t>0 €TTC / personne</w:t>
      </w:r>
    </w:p>
    <w:p w:rsidR="00375382" w:rsidRDefault="00375382" w:rsidP="0037538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3308B">
        <w:rPr>
          <w:sz w:val="24"/>
          <w:szCs w:val="24"/>
        </w:rPr>
        <w:t>Association :</w:t>
      </w:r>
      <w:r w:rsidR="0029227B">
        <w:rPr>
          <w:sz w:val="24"/>
          <w:szCs w:val="24"/>
        </w:rPr>
        <w:t xml:space="preserve"> 20</w:t>
      </w:r>
      <w:r w:rsidRPr="0003308B">
        <w:rPr>
          <w:sz w:val="24"/>
          <w:szCs w:val="24"/>
        </w:rPr>
        <w:t>0 €TTC / personne</w:t>
      </w:r>
    </w:p>
    <w:p w:rsidR="00310761" w:rsidRDefault="00206E3C" w:rsidP="00F73765">
      <w:pPr>
        <w:jc w:val="both"/>
        <w:rPr>
          <w:sz w:val="24"/>
          <w:szCs w:val="24"/>
        </w:rPr>
      </w:pPr>
      <w:r w:rsidRPr="00206E3C">
        <w:rPr>
          <w:sz w:val="24"/>
          <w:szCs w:val="24"/>
          <w:u w:val="single"/>
        </w:rPr>
        <w:t>Partenariat </w:t>
      </w:r>
      <w:r w:rsidRPr="00206E3C">
        <w:rPr>
          <w:sz w:val="24"/>
          <w:szCs w:val="24"/>
        </w:rPr>
        <w:t>:</w:t>
      </w:r>
      <w:r>
        <w:rPr>
          <w:sz w:val="24"/>
          <w:szCs w:val="24"/>
        </w:rPr>
        <w:t xml:space="preserve"> cette formation est </w:t>
      </w:r>
      <w:proofErr w:type="spellStart"/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>-organisée avec l’association ARENES</w:t>
      </w:r>
    </w:p>
    <w:p w:rsidR="00310761" w:rsidRDefault="00206E3C" w:rsidP="00F73765">
      <w:pPr>
        <w:rPr>
          <w:sz w:val="24"/>
          <w:szCs w:val="24"/>
        </w:rPr>
      </w:pPr>
      <w:r w:rsidRPr="00206E3C">
        <w:rPr>
          <w:sz w:val="24"/>
          <w:szCs w:val="24"/>
          <w:u w:val="single"/>
        </w:rPr>
        <w:t>Intervenants </w:t>
      </w:r>
      <w:r>
        <w:rPr>
          <w:sz w:val="24"/>
          <w:szCs w:val="24"/>
        </w:rPr>
        <w:t>: Etienne BALLAN, Jacques PICARD</w:t>
      </w:r>
    </w:p>
    <w:p w:rsidR="00310761" w:rsidRDefault="00310761" w:rsidP="0003308B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:rsidR="00EF6B55" w:rsidRDefault="00375382" w:rsidP="000E242B">
      <w:pPr>
        <w:pStyle w:val="Paragraphedeliste"/>
        <w:ind w:left="0"/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Juin 2015 </w:t>
      </w:r>
      <w:r w:rsidR="00D849A9">
        <w:rPr>
          <w:b/>
          <w:color w:val="E36C0A" w:themeColor="accent6" w:themeShade="BF"/>
          <w:sz w:val="28"/>
          <w:szCs w:val="28"/>
        </w:rPr>
        <w:t>–</w:t>
      </w:r>
      <w:r>
        <w:rPr>
          <w:b/>
          <w:color w:val="E36C0A" w:themeColor="accent6" w:themeShade="BF"/>
          <w:sz w:val="28"/>
          <w:szCs w:val="28"/>
        </w:rPr>
        <w:t xml:space="preserve"> </w:t>
      </w:r>
      <w:r w:rsidR="0017626A">
        <w:rPr>
          <w:b/>
          <w:color w:val="E36C0A" w:themeColor="accent6" w:themeShade="BF"/>
          <w:sz w:val="28"/>
          <w:szCs w:val="28"/>
        </w:rPr>
        <w:t>« </w:t>
      </w:r>
      <w:r w:rsidR="00D849A9">
        <w:rPr>
          <w:b/>
          <w:color w:val="E36C0A" w:themeColor="accent6" w:themeShade="BF"/>
          <w:sz w:val="28"/>
          <w:szCs w:val="28"/>
        </w:rPr>
        <w:t>Construire et renouveler le projet de territoire</w:t>
      </w:r>
      <w:r w:rsidR="0017626A">
        <w:rPr>
          <w:b/>
          <w:color w:val="E36C0A" w:themeColor="accent6" w:themeShade="BF"/>
          <w:sz w:val="28"/>
          <w:szCs w:val="28"/>
        </w:rPr>
        <w:t> »</w:t>
      </w:r>
    </w:p>
    <w:p w:rsidR="00375382" w:rsidRPr="003C2AB1" w:rsidRDefault="00375382" w:rsidP="000E242B">
      <w:pPr>
        <w:pStyle w:val="Paragraphedeliste"/>
        <w:ind w:left="0"/>
        <w:jc w:val="center"/>
        <w:rPr>
          <w:b/>
          <w:color w:val="E36C0A" w:themeColor="accent6" w:themeShade="BF"/>
          <w:sz w:val="16"/>
          <w:szCs w:val="16"/>
        </w:rPr>
      </w:pPr>
    </w:p>
    <w:p w:rsidR="00EF6B55" w:rsidRDefault="00EF6B55" w:rsidP="00EF6B55">
      <w:pPr>
        <w:jc w:val="both"/>
        <w:rPr>
          <w:sz w:val="24"/>
          <w:szCs w:val="24"/>
        </w:rPr>
      </w:pPr>
      <w:r w:rsidRPr="00C245D4">
        <w:rPr>
          <w:sz w:val="24"/>
          <w:szCs w:val="24"/>
          <w:u w:val="single"/>
        </w:rPr>
        <w:t>Publics ciblés :</w:t>
      </w:r>
      <w:r>
        <w:rPr>
          <w:sz w:val="24"/>
          <w:szCs w:val="24"/>
        </w:rPr>
        <w:t xml:space="preserve"> </w:t>
      </w:r>
      <w:r w:rsidR="00310761">
        <w:rPr>
          <w:sz w:val="24"/>
          <w:szCs w:val="24"/>
        </w:rPr>
        <w:t>Les a</w:t>
      </w:r>
      <w:r w:rsidR="0003308B">
        <w:rPr>
          <w:sz w:val="24"/>
          <w:szCs w:val="24"/>
        </w:rPr>
        <w:t xml:space="preserve">gents de développement et élus locaux, </w:t>
      </w:r>
      <w:r w:rsidR="00310761">
        <w:rPr>
          <w:sz w:val="24"/>
          <w:szCs w:val="24"/>
        </w:rPr>
        <w:t xml:space="preserve">les </w:t>
      </w:r>
      <w:r w:rsidR="0003308B">
        <w:rPr>
          <w:sz w:val="24"/>
          <w:szCs w:val="24"/>
        </w:rPr>
        <w:t>services des collectivités territoriales</w:t>
      </w:r>
      <w:r w:rsidR="00B10630">
        <w:rPr>
          <w:sz w:val="24"/>
          <w:szCs w:val="24"/>
        </w:rPr>
        <w:t xml:space="preserve">, </w:t>
      </w:r>
      <w:r w:rsidR="00310761">
        <w:rPr>
          <w:sz w:val="24"/>
          <w:szCs w:val="24"/>
        </w:rPr>
        <w:t xml:space="preserve">les </w:t>
      </w:r>
      <w:r w:rsidR="00B10630">
        <w:rPr>
          <w:sz w:val="24"/>
          <w:szCs w:val="24"/>
        </w:rPr>
        <w:t xml:space="preserve">chargés de mission </w:t>
      </w:r>
      <w:r w:rsidR="00310761">
        <w:rPr>
          <w:sz w:val="24"/>
          <w:szCs w:val="24"/>
        </w:rPr>
        <w:t xml:space="preserve">et responsables </w:t>
      </w:r>
      <w:r w:rsidR="00B10630">
        <w:rPr>
          <w:sz w:val="24"/>
          <w:szCs w:val="24"/>
        </w:rPr>
        <w:t>associatifs</w:t>
      </w:r>
      <w:r w:rsidR="00310761">
        <w:rPr>
          <w:sz w:val="24"/>
          <w:szCs w:val="24"/>
        </w:rPr>
        <w:t>, les membres d’instances de concertation</w:t>
      </w:r>
      <w:r w:rsidR="00B10630">
        <w:rPr>
          <w:sz w:val="24"/>
          <w:szCs w:val="24"/>
        </w:rPr>
        <w:t>.</w:t>
      </w:r>
    </w:p>
    <w:p w:rsidR="00EF6B55" w:rsidRPr="00B10630" w:rsidRDefault="00EF6B55" w:rsidP="00EF6B55">
      <w:pPr>
        <w:jc w:val="both"/>
        <w:rPr>
          <w:sz w:val="24"/>
          <w:szCs w:val="24"/>
        </w:rPr>
      </w:pPr>
      <w:r w:rsidRPr="00EF6B55">
        <w:rPr>
          <w:sz w:val="24"/>
          <w:szCs w:val="24"/>
          <w:u w:val="single"/>
        </w:rPr>
        <w:t>Contenu :</w:t>
      </w:r>
      <w:r w:rsidRPr="00551EE6">
        <w:rPr>
          <w:sz w:val="24"/>
          <w:szCs w:val="24"/>
        </w:rPr>
        <w:t xml:space="preserve"> </w:t>
      </w:r>
      <w:r w:rsidR="00310761">
        <w:rPr>
          <w:sz w:val="24"/>
          <w:szCs w:val="24"/>
        </w:rPr>
        <w:t>Il s’agit de revisiter l</w:t>
      </w:r>
      <w:r w:rsidR="00B10630" w:rsidRPr="00310761">
        <w:rPr>
          <w:sz w:val="24"/>
          <w:szCs w:val="24"/>
        </w:rPr>
        <w:t>a notion</w:t>
      </w:r>
      <w:r w:rsidR="00310761">
        <w:rPr>
          <w:sz w:val="24"/>
          <w:szCs w:val="24"/>
        </w:rPr>
        <w:t xml:space="preserve"> </w:t>
      </w:r>
      <w:r w:rsidR="00F73765">
        <w:rPr>
          <w:sz w:val="24"/>
          <w:szCs w:val="24"/>
        </w:rPr>
        <w:t xml:space="preserve">même de territoire, </w:t>
      </w:r>
      <w:r w:rsidR="00310761">
        <w:rPr>
          <w:sz w:val="24"/>
          <w:szCs w:val="24"/>
        </w:rPr>
        <w:t xml:space="preserve">les modalités et méthodes de </w:t>
      </w:r>
      <w:r w:rsidR="00F73765">
        <w:rPr>
          <w:sz w:val="24"/>
          <w:szCs w:val="24"/>
        </w:rPr>
        <w:t xml:space="preserve">d’élaboration du projet de territoire, la </w:t>
      </w:r>
      <w:r w:rsidR="00310761">
        <w:rPr>
          <w:sz w:val="24"/>
          <w:szCs w:val="24"/>
        </w:rPr>
        <w:t>mobilisation des acteurs locaux, en intégrant aussi les évolutions récentes des politiques publiques et de la réforme territoriale.</w:t>
      </w:r>
    </w:p>
    <w:p w:rsidR="00EF6B55" w:rsidRDefault="0003308B" w:rsidP="00EF6B5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Format</w:t>
      </w:r>
      <w:r w:rsidR="00EF6B55" w:rsidRPr="00C245D4">
        <w:rPr>
          <w:sz w:val="24"/>
          <w:szCs w:val="24"/>
          <w:u w:val="single"/>
        </w:rPr>
        <w:t> :</w:t>
      </w:r>
      <w:r w:rsidR="00EF6B55">
        <w:rPr>
          <w:sz w:val="24"/>
          <w:szCs w:val="24"/>
        </w:rPr>
        <w:t xml:space="preserve"> 1 journée (10H – 17H)</w:t>
      </w:r>
    </w:p>
    <w:p w:rsidR="00EF6B55" w:rsidRPr="00C245D4" w:rsidRDefault="00EF6B55" w:rsidP="00EF6B55">
      <w:pPr>
        <w:jc w:val="both"/>
        <w:rPr>
          <w:sz w:val="24"/>
          <w:szCs w:val="24"/>
        </w:rPr>
      </w:pPr>
      <w:r w:rsidRPr="00C245D4">
        <w:rPr>
          <w:sz w:val="24"/>
          <w:szCs w:val="24"/>
          <w:u w:val="single"/>
        </w:rPr>
        <w:t>Lieu :</w:t>
      </w:r>
      <w:r>
        <w:rPr>
          <w:sz w:val="24"/>
          <w:szCs w:val="24"/>
        </w:rPr>
        <w:t xml:space="preserve"> Paris (locaux de l’</w:t>
      </w:r>
      <w:proofErr w:type="spellStart"/>
      <w:r>
        <w:rPr>
          <w:sz w:val="24"/>
          <w:szCs w:val="24"/>
        </w:rPr>
        <w:t>Unadel</w:t>
      </w:r>
      <w:proofErr w:type="spellEnd"/>
      <w:r>
        <w:rPr>
          <w:sz w:val="24"/>
          <w:szCs w:val="24"/>
        </w:rPr>
        <w:t> : 150-154, rue du Faubourg Saint Martin – 75010 Paris)</w:t>
      </w:r>
    </w:p>
    <w:p w:rsidR="00EF6B55" w:rsidRDefault="00EF6B55" w:rsidP="00EF6B55">
      <w:pPr>
        <w:jc w:val="both"/>
        <w:rPr>
          <w:sz w:val="24"/>
          <w:szCs w:val="24"/>
        </w:rPr>
      </w:pPr>
      <w:r w:rsidRPr="00C245D4">
        <w:rPr>
          <w:sz w:val="24"/>
          <w:szCs w:val="24"/>
          <w:u w:val="single"/>
        </w:rPr>
        <w:t>Tarifs :</w:t>
      </w:r>
      <w:r>
        <w:rPr>
          <w:sz w:val="24"/>
          <w:szCs w:val="24"/>
        </w:rPr>
        <w:t xml:space="preserve"> </w:t>
      </w:r>
    </w:p>
    <w:p w:rsidR="0003308B" w:rsidRDefault="0003308B" w:rsidP="0003308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3308B">
        <w:rPr>
          <w:sz w:val="24"/>
          <w:szCs w:val="24"/>
        </w:rPr>
        <w:t xml:space="preserve">Collectivité, EPCI, syndicat mixte : </w:t>
      </w:r>
      <w:r w:rsidR="0029227B">
        <w:rPr>
          <w:sz w:val="24"/>
          <w:szCs w:val="24"/>
        </w:rPr>
        <w:t>30</w:t>
      </w:r>
      <w:r w:rsidRPr="0003308B">
        <w:rPr>
          <w:sz w:val="24"/>
          <w:szCs w:val="24"/>
        </w:rPr>
        <w:t>0 €TTC / personne</w:t>
      </w:r>
    </w:p>
    <w:p w:rsidR="0003308B" w:rsidRDefault="0003308B" w:rsidP="0003308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3308B">
        <w:rPr>
          <w:sz w:val="24"/>
          <w:szCs w:val="24"/>
        </w:rPr>
        <w:t>Association :</w:t>
      </w:r>
      <w:r w:rsidR="0029227B">
        <w:rPr>
          <w:sz w:val="24"/>
          <w:szCs w:val="24"/>
        </w:rPr>
        <w:t xml:space="preserve"> 20</w:t>
      </w:r>
      <w:r w:rsidRPr="0003308B">
        <w:rPr>
          <w:sz w:val="24"/>
          <w:szCs w:val="24"/>
        </w:rPr>
        <w:t>0 €TTC / personne</w:t>
      </w:r>
    </w:p>
    <w:p w:rsidR="00375382" w:rsidRDefault="00206E3C" w:rsidP="00C515E4">
      <w:pPr>
        <w:rPr>
          <w:sz w:val="24"/>
          <w:szCs w:val="24"/>
        </w:rPr>
      </w:pPr>
      <w:r w:rsidRPr="00206E3C">
        <w:rPr>
          <w:sz w:val="24"/>
          <w:szCs w:val="24"/>
          <w:u w:val="single"/>
        </w:rPr>
        <w:t>Intervenants </w:t>
      </w:r>
      <w:r>
        <w:rPr>
          <w:sz w:val="24"/>
          <w:szCs w:val="24"/>
        </w:rPr>
        <w:t>:</w:t>
      </w:r>
      <w:r w:rsidR="00F73765">
        <w:rPr>
          <w:sz w:val="24"/>
          <w:szCs w:val="24"/>
        </w:rPr>
        <w:t xml:space="preserve"> Stéphane LOUKIANOFF, Cécile DE BLIC</w:t>
      </w:r>
    </w:p>
    <w:p w:rsidR="00C515E4" w:rsidRPr="00206E3C" w:rsidRDefault="00C515E4" w:rsidP="00C515E4">
      <w:pPr>
        <w:rPr>
          <w:sz w:val="24"/>
          <w:szCs w:val="24"/>
        </w:rPr>
      </w:pPr>
    </w:p>
    <w:p w:rsidR="00206E3C" w:rsidRPr="00375382" w:rsidRDefault="00206E3C" w:rsidP="00206E3C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375382" w:rsidRPr="006323A2" w:rsidRDefault="00375382" w:rsidP="006323A2">
      <w:pPr>
        <w:jc w:val="center"/>
        <w:rPr>
          <w:b/>
          <w:sz w:val="28"/>
          <w:szCs w:val="28"/>
        </w:rPr>
      </w:pPr>
      <w:r w:rsidRPr="00375382">
        <w:rPr>
          <w:b/>
          <w:color w:val="E36C0A" w:themeColor="accent6" w:themeShade="BF"/>
          <w:sz w:val="28"/>
          <w:szCs w:val="28"/>
        </w:rPr>
        <w:t xml:space="preserve">Septembre 2015 - </w:t>
      </w:r>
      <w:r w:rsidR="0017626A">
        <w:rPr>
          <w:b/>
          <w:color w:val="E36C0A" w:themeColor="accent6" w:themeShade="BF"/>
          <w:sz w:val="28"/>
          <w:szCs w:val="28"/>
        </w:rPr>
        <w:t>« </w:t>
      </w:r>
      <w:r w:rsidR="00D849A9">
        <w:rPr>
          <w:b/>
          <w:color w:val="E36C0A" w:themeColor="accent6" w:themeShade="BF"/>
          <w:sz w:val="28"/>
          <w:szCs w:val="28"/>
        </w:rPr>
        <w:t>La réforme territoriale</w:t>
      </w:r>
      <w:r w:rsidR="006323A2">
        <w:rPr>
          <w:b/>
          <w:color w:val="E36C0A" w:themeColor="accent6" w:themeShade="BF"/>
          <w:sz w:val="28"/>
          <w:szCs w:val="28"/>
        </w:rPr>
        <w:t> </w:t>
      </w:r>
      <w:r w:rsidR="003C2AB1">
        <w:rPr>
          <w:b/>
          <w:color w:val="E36C0A" w:themeColor="accent6" w:themeShade="BF"/>
          <w:sz w:val="28"/>
          <w:szCs w:val="28"/>
        </w:rPr>
        <w:t>et le développement local »</w:t>
      </w:r>
    </w:p>
    <w:p w:rsidR="00375382" w:rsidRDefault="00375382" w:rsidP="00375382">
      <w:pPr>
        <w:jc w:val="both"/>
        <w:rPr>
          <w:sz w:val="24"/>
          <w:szCs w:val="24"/>
        </w:rPr>
      </w:pPr>
      <w:r w:rsidRPr="00C245D4">
        <w:rPr>
          <w:sz w:val="24"/>
          <w:szCs w:val="24"/>
          <w:u w:val="single"/>
        </w:rPr>
        <w:t>Publics ciblés :</w:t>
      </w:r>
      <w:r>
        <w:rPr>
          <w:sz w:val="24"/>
          <w:szCs w:val="24"/>
        </w:rPr>
        <w:t xml:space="preserve"> </w:t>
      </w:r>
      <w:r w:rsidR="00F73765" w:rsidRPr="00310761">
        <w:rPr>
          <w:sz w:val="24"/>
          <w:szCs w:val="24"/>
        </w:rPr>
        <w:t>Agents de développement et élus locaux, services des collectivités territoriales, chargés de mission et responsables associatifs.</w:t>
      </w:r>
    </w:p>
    <w:p w:rsidR="00375382" w:rsidRPr="00310761" w:rsidRDefault="00375382" w:rsidP="00375382">
      <w:pPr>
        <w:jc w:val="both"/>
        <w:rPr>
          <w:sz w:val="24"/>
          <w:szCs w:val="24"/>
        </w:rPr>
      </w:pPr>
      <w:r w:rsidRPr="00310761">
        <w:rPr>
          <w:sz w:val="24"/>
          <w:szCs w:val="24"/>
          <w:u w:val="single"/>
        </w:rPr>
        <w:t>Contenu :</w:t>
      </w:r>
      <w:r w:rsidRPr="002E2A57">
        <w:rPr>
          <w:sz w:val="24"/>
          <w:szCs w:val="24"/>
        </w:rPr>
        <w:t xml:space="preserve"> </w:t>
      </w:r>
      <w:r w:rsidR="002E2A57">
        <w:rPr>
          <w:sz w:val="24"/>
          <w:szCs w:val="24"/>
        </w:rPr>
        <w:t xml:space="preserve">Les principales dispositions de la loi </w:t>
      </w:r>
      <w:proofErr w:type="spellStart"/>
      <w:r w:rsidR="002E2A57">
        <w:rPr>
          <w:sz w:val="24"/>
          <w:szCs w:val="24"/>
        </w:rPr>
        <w:t>Maptam</w:t>
      </w:r>
      <w:proofErr w:type="spellEnd"/>
      <w:r w:rsidR="002E2A57">
        <w:rPr>
          <w:sz w:val="24"/>
          <w:szCs w:val="24"/>
        </w:rPr>
        <w:t xml:space="preserve">, de loi sur la fusion des régions,  de loi </w:t>
      </w:r>
      <w:proofErr w:type="spellStart"/>
      <w:r w:rsidR="002E2A57">
        <w:rPr>
          <w:sz w:val="24"/>
          <w:szCs w:val="24"/>
        </w:rPr>
        <w:t>NOTRe</w:t>
      </w:r>
      <w:proofErr w:type="spellEnd"/>
      <w:r w:rsidR="002E2A57">
        <w:rPr>
          <w:sz w:val="24"/>
          <w:szCs w:val="24"/>
        </w:rPr>
        <w:t xml:space="preserve"> et leurs conséquences pour l’organisation et les dynamiques de développement des territoires.</w:t>
      </w:r>
    </w:p>
    <w:p w:rsidR="00375382" w:rsidRDefault="00375382" w:rsidP="0037538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Format</w:t>
      </w:r>
      <w:r w:rsidRPr="00C245D4">
        <w:rPr>
          <w:sz w:val="24"/>
          <w:szCs w:val="24"/>
          <w:u w:val="single"/>
        </w:rPr>
        <w:t> :</w:t>
      </w:r>
      <w:r>
        <w:rPr>
          <w:sz w:val="24"/>
          <w:szCs w:val="24"/>
        </w:rPr>
        <w:t xml:space="preserve"> 1 journée (10H – 17H)</w:t>
      </w:r>
    </w:p>
    <w:p w:rsidR="00375382" w:rsidRPr="00C245D4" w:rsidRDefault="00375382" w:rsidP="00375382">
      <w:pPr>
        <w:jc w:val="both"/>
        <w:rPr>
          <w:sz w:val="24"/>
          <w:szCs w:val="24"/>
        </w:rPr>
      </w:pPr>
      <w:r w:rsidRPr="00C245D4">
        <w:rPr>
          <w:sz w:val="24"/>
          <w:szCs w:val="24"/>
          <w:u w:val="single"/>
        </w:rPr>
        <w:t>Lieu :</w:t>
      </w:r>
      <w:r>
        <w:rPr>
          <w:sz w:val="24"/>
          <w:szCs w:val="24"/>
        </w:rPr>
        <w:t xml:space="preserve"> Paris (locaux de l’</w:t>
      </w:r>
      <w:proofErr w:type="spellStart"/>
      <w:r>
        <w:rPr>
          <w:sz w:val="24"/>
          <w:szCs w:val="24"/>
        </w:rPr>
        <w:t>Unadel</w:t>
      </w:r>
      <w:proofErr w:type="spellEnd"/>
      <w:r>
        <w:rPr>
          <w:sz w:val="24"/>
          <w:szCs w:val="24"/>
        </w:rPr>
        <w:t> : 150-154, rue du Faubourg Saint Martin – 75010 Paris)</w:t>
      </w:r>
    </w:p>
    <w:p w:rsidR="00375382" w:rsidRDefault="00375382" w:rsidP="00375382">
      <w:pPr>
        <w:jc w:val="both"/>
        <w:rPr>
          <w:sz w:val="24"/>
          <w:szCs w:val="24"/>
        </w:rPr>
      </w:pPr>
      <w:r w:rsidRPr="00C245D4">
        <w:rPr>
          <w:sz w:val="24"/>
          <w:szCs w:val="24"/>
          <w:u w:val="single"/>
        </w:rPr>
        <w:t>Tarifs :</w:t>
      </w:r>
      <w:r>
        <w:rPr>
          <w:sz w:val="24"/>
          <w:szCs w:val="24"/>
        </w:rPr>
        <w:t xml:space="preserve"> </w:t>
      </w:r>
    </w:p>
    <w:p w:rsidR="00375382" w:rsidRDefault="00375382" w:rsidP="0037538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3308B">
        <w:rPr>
          <w:sz w:val="24"/>
          <w:szCs w:val="24"/>
        </w:rPr>
        <w:t xml:space="preserve">Collectivité, EPCI, syndicat mixte : </w:t>
      </w:r>
      <w:r w:rsidR="00310761">
        <w:rPr>
          <w:sz w:val="24"/>
          <w:szCs w:val="24"/>
        </w:rPr>
        <w:t>30</w:t>
      </w:r>
      <w:r w:rsidRPr="0003308B">
        <w:rPr>
          <w:sz w:val="24"/>
          <w:szCs w:val="24"/>
        </w:rPr>
        <w:t>0 €TTC / personne</w:t>
      </w:r>
    </w:p>
    <w:p w:rsidR="00375382" w:rsidRDefault="00375382" w:rsidP="0037538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3308B">
        <w:rPr>
          <w:sz w:val="24"/>
          <w:szCs w:val="24"/>
        </w:rPr>
        <w:t>Association :</w:t>
      </w:r>
      <w:r w:rsidR="00310761">
        <w:rPr>
          <w:sz w:val="24"/>
          <w:szCs w:val="24"/>
        </w:rPr>
        <w:t xml:space="preserve"> 20</w:t>
      </w:r>
      <w:r w:rsidRPr="0003308B">
        <w:rPr>
          <w:sz w:val="24"/>
          <w:szCs w:val="24"/>
        </w:rPr>
        <w:t>0 €TTC / personne</w:t>
      </w:r>
    </w:p>
    <w:p w:rsidR="00206E3C" w:rsidRDefault="00206E3C" w:rsidP="00206E3C">
      <w:pPr>
        <w:rPr>
          <w:sz w:val="24"/>
          <w:szCs w:val="24"/>
        </w:rPr>
      </w:pPr>
      <w:r w:rsidRPr="00206E3C">
        <w:rPr>
          <w:sz w:val="24"/>
          <w:szCs w:val="24"/>
          <w:u w:val="single"/>
        </w:rPr>
        <w:t>Intervenants </w:t>
      </w:r>
      <w:r w:rsidRPr="00206E3C">
        <w:rPr>
          <w:sz w:val="24"/>
          <w:szCs w:val="24"/>
        </w:rPr>
        <w:t xml:space="preserve">: </w:t>
      </w:r>
      <w:r>
        <w:rPr>
          <w:sz w:val="24"/>
          <w:szCs w:val="24"/>
        </w:rPr>
        <w:t>Georges GONTCHAROFF</w:t>
      </w:r>
      <w:r w:rsidR="00F73765">
        <w:rPr>
          <w:sz w:val="24"/>
          <w:szCs w:val="24"/>
        </w:rPr>
        <w:t xml:space="preserve">, </w:t>
      </w:r>
      <w:r w:rsidR="006F6203">
        <w:rPr>
          <w:sz w:val="24"/>
          <w:szCs w:val="24"/>
        </w:rPr>
        <w:t>Stéphane LOUKIANOFF</w:t>
      </w:r>
    </w:p>
    <w:p w:rsidR="00C515E4" w:rsidRPr="00206E3C" w:rsidRDefault="00C515E4" w:rsidP="00206E3C">
      <w:pPr>
        <w:rPr>
          <w:sz w:val="24"/>
          <w:szCs w:val="24"/>
        </w:rPr>
      </w:pPr>
    </w:p>
    <w:p w:rsidR="006323A2" w:rsidRDefault="006323A2" w:rsidP="00375382">
      <w:pPr>
        <w:pBdr>
          <w:top w:val="single" w:sz="4" w:space="1" w:color="auto"/>
        </w:pBdr>
        <w:jc w:val="center"/>
        <w:rPr>
          <w:b/>
          <w:color w:val="E36C0A" w:themeColor="accent6" w:themeShade="BF"/>
          <w:sz w:val="28"/>
          <w:szCs w:val="28"/>
        </w:rPr>
      </w:pPr>
    </w:p>
    <w:p w:rsidR="00375382" w:rsidRDefault="006323A2" w:rsidP="00375382">
      <w:pPr>
        <w:pBdr>
          <w:top w:val="single" w:sz="4" w:space="1" w:color="auto"/>
        </w:pBdr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Octo</w:t>
      </w:r>
      <w:r w:rsidR="00375382" w:rsidRPr="00375382">
        <w:rPr>
          <w:b/>
          <w:color w:val="E36C0A" w:themeColor="accent6" w:themeShade="BF"/>
          <w:sz w:val="28"/>
          <w:szCs w:val="28"/>
        </w:rPr>
        <w:t xml:space="preserve">bre 2015 </w:t>
      </w:r>
      <w:r>
        <w:rPr>
          <w:b/>
          <w:color w:val="E36C0A" w:themeColor="accent6" w:themeShade="BF"/>
          <w:sz w:val="28"/>
          <w:szCs w:val="28"/>
        </w:rPr>
        <w:t>–</w:t>
      </w:r>
      <w:r w:rsidR="00375382" w:rsidRPr="00375382">
        <w:rPr>
          <w:b/>
          <w:color w:val="E36C0A" w:themeColor="accent6" w:themeShade="BF"/>
          <w:sz w:val="28"/>
          <w:szCs w:val="28"/>
        </w:rPr>
        <w:t xml:space="preserve"> </w:t>
      </w:r>
      <w:r w:rsidR="0017626A">
        <w:rPr>
          <w:b/>
          <w:color w:val="E36C0A" w:themeColor="accent6" w:themeShade="BF"/>
          <w:sz w:val="28"/>
          <w:szCs w:val="28"/>
        </w:rPr>
        <w:t>« </w:t>
      </w:r>
      <w:r w:rsidR="006F6203">
        <w:rPr>
          <w:b/>
          <w:color w:val="E36C0A" w:themeColor="accent6" w:themeShade="BF"/>
          <w:sz w:val="28"/>
          <w:szCs w:val="28"/>
        </w:rPr>
        <w:t>coopération territoriale et projet de territoire</w:t>
      </w:r>
      <w:r w:rsidR="0017626A">
        <w:rPr>
          <w:b/>
          <w:color w:val="E36C0A" w:themeColor="accent6" w:themeShade="BF"/>
          <w:sz w:val="28"/>
          <w:szCs w:val="28"/>
        </w:rPr>
        <w:t> »</w:t>
      </w:r>
    </w:p>
    <w:p w:rsidR="00375382" w:rsidRDefault="00375382" w:rsidP="00375382">
      <w:pPr>
        <w:jc w:val="both"/>
        <w:rPr>
          <w:sz w:val="24"/>
          <w:szCs w:val="24"/>
        </w:rPr>
      </w:pPr>
      <w:r w:rsidRPr="00C245D4">
        <w:rPr>
          <w:sz w:val="24"/>
          <w:szCs w:val="24"/>
          <w:u w:val="single"/>
        </w:rPr>
        <w:t>Publics ciblés :</w:t>
      </w:r>
      <w:r>
        <w:rPr>
          <w:sz w:val="24"/>
          <w:szCs w:val="24"/>
        </w:rPr>
        <w:t xml:space="preserve"> </w:t>
      </w:r>
      <w:r w:rsidR="00F73765" w:rsidRPr="00310761">
        <w:rPr>
          <w:sz w:val="24"/>
          <w:szCs w:val="24"/>
        </w:rPr>
        <w:t>Agents de développement et élus locaux, services des collectivités territoriales, chargés de mission et responsables associatifs.</w:t>
      </w:r>
    </w:p>
    <w:p w:rsidR="00375382" w:rsidRPr="006F6203" w:rsidRDefault="00375382" w:rsidP="00375382">
      <w:pPr>
        <w:jc w:val="both"/>
        <w:rPr>
          <w:sz w:val="24"/>
          <w:szCs w:val="24"/>
        </w:rPr>
      </w:pPr>
      <w:r w:rsidRPr="00EF6B55">
        <w:rPr>
          <w:sz w:val="24"/>
          <w:szCs w:val="24"/>
          <w:u w:val="single"/>
        </w:rPr>
        <w:t>Contenu </w:t>
      </w:r>
      <w:r w:rsidRPr="00117C94">
        <w:rPr>
          <w:sz w:val="24"/>
          <w:szCs w:val="24"/>
        </w:rPr>
        <w:t xml:space="preserve">: </w:t>
      </w:r>
      <w:r w:rsidR="006F6203">
        <w:rPr>
          <w:sz w:val="24"/>
          <w:szCs w:val="24"/>
        </w:rPr>
        <w:t>P</w:t>
      </w:r>
      <w:r w:rsidR="006F6203" w:rsidRPr="006F6203">
        <w:rPr>
          <w:sz w:val="24"/>
          <w:szCs w:val="24"/>
        </w:rPr>
        <w:t>enser un proj</w:t>
      </w:r>
      <w:r w:rsidR="006F6203">
        <w:rPr>
          <w:sz w:val="24"/>
          <w:szCs w:val="24"/>
        </w:rPr>
        <w:t>et cohérent « multi-échelles », notion d’inter-territorialité, les</w:t>
      </w:r>
      <w:r w:rsidR="006F6203" w:rsidRPr="006F6203">
        <w:rPr>
          <w:sz w:val="24"/>
          <w:szCs w:val="24"/>
        </w:rPr>
        <w:t xml:space="preserve"> accords de gouvernance </w:t>
      </w:r>
      <w:r w:rsidR="006F6203">
        <w:rPr>
          <w:sz w:val="24"/>
          <w:szCs w:val="24"/>
        </w:rPr>
        <w:t xml:space="preserve">à </w:t>
      </w:r>
      <w:r w:rsidR="006F6203" w:rsidRPr="006F6203">
        <w:rPr>
          <w:sz w:val="24"/>
          <w:szCs w:val="24"/>
        </w:rPr>
        <w:t>mettre en place entr</w:t>
      </w:r>
      <w:r w:rsidR="006F6203">
        <w:rPr>
          <w:sz w:val="24"/>
          <w:szCs w:val="24"/>
        </w:rPr>
        <w:t>e territoires ruraux et urbains.</w:t>
      </w:r>
    </w:p>
    <w:p w:rsidR="00375382" w:rsidRDefault="00375382" w:rsidP="0037538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Format</w:t>
      </w:r>
      <w:r w:rsidRPr="00C245D4">
        <w:rPr>
          <w:sz w:val="24"/>
          <w:szCs w:val="24"/>
          <w:u w:val="single"/>
        </w:rPr>
        <w:t> :</w:t>
      </w:r>
      <w:r>
        <w:rPr>
          <w:sz w:val="24"/>
          <w:szCs w:val="24"/>
        </w:rPr>
        <w:t xml:space="preserve"> 1 journée (10H – 17H)</w:t>
      </w:r>
    </w:p>
    <w:p w:rsidR="00375382" w:rsidRPr="00C245D4" w:rsidRDefault="00375382" w:rsidP="00375382">
      <w:pPr>
        <w:jc w:val="both"/>
        <w:rPr>
          <w:sz w:val="24"/>
          <w:szCs w:val="24"/>
        </w:rPr>
      </w:pPr>
      <w:r w:rsidRPr="00C245D4">
        <w:rPr>
          <w:sz w:val="24"/>
          <w:szCs w:val="24"/>
          <w:u w:val="single"/>
        </w:rPr>
        <w:t>Lieu :</w:t>
      </w:r>
      <w:r>
        <w:rPr>
          <w:sz w:val="24"/>
          <w:szCs w:val="24"/>
        </w:rPr>
        <w:t xml:space="preserve"> Paris (locaux de l’</w:t>
      </w:r>
      <w:proofErr w:type="spellStart"/>
      <w:r>
        <w:rPr>
          <w:sz w:val="24"/>
          <w:szCs w:val="24"/>
        </w:rPr>
        <w:t>Unadel</w:t>
      </w:r>
      <w:proofErr w:type="spellEnd"/>
      <w:r>
        <w:rPr>
          <w:sz w:val="24"/>
          <w:szCs w:val="24"/>
        </w:rPr>
        <w:t> : 150-154, rue du Faubourg Saint Martin – 75010 Paris)</w:t>
      </w:r>
    </w:p>
    <w:p w:rsidR="00375382" w:rsidRDefault="00375382" w:rsidP="00375382">
      <w:pPr>
        <w:jc w:val="both"/>
        <w:rPr>
          <w:sz w:val="24"/>
          <w:szCs w:val="24"/>
        </w:rPr>
      </w:pPr>
      <w:r w:rsidRPr="00C245D4">
        <w:rPr>
          <w:sz w:val="24"/>
          <w:szCs w:val="24"/>
          <w:u w:val="single"/>
        </w:rPr>
        <w:t>Tarifs :</w:t>
      </w:r>
      <w:r>
        <w:rPr>
          <w:sz w:val="24"/>
          <w:szCs w:val="24"/>
        </w:rPr>
        <w:t xml:space="preserve"> </w:t>
      </w:r>
    </w:p>
    <w:p w:rsidR="00375382" w:rsidRDefault="00375382" w:rsidP="0037538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3308B">
        <w:rPr>
          <w:sz w:val="24"/>
          <w:szCs w:val="24"/>
        </w:rPr>
        <w:t xml:space="preserve">Collectivité, EPCI, syndicat mixte : </w:t>
      </w:r>
      <w:r w:rsidR="00310761">
        <w:rPr>
          <w:sz w:val="24"/>
          <w:szCs w:val="24"/>
        </w:rPr>
        <w:t>30</w:t>
      </w:r>
      <w:r w:rsidRPr="0003308B">
        <w:rPr>
          <w:sz w:val="24"/>
          <w:szCs w:val="24"/>
        </w:rPr>
        <w:t>0 €TTC / personne</w:t>
      </w:r>
    </w:p>
    <w:p w:rsidR="00375382" w:rsidRDefault="00375382" w:rsidP="0037538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3308B">
        <w:rPr>
          <w:sz w:val="24"/>
          <w:szCs w:val="24"/>
        </w:rPr>
        <w:t>Association :</w:t>
      </w:r>
      <w:r w:rsidR="00310761">
        <w:rPr>
          <w:sz w:val="24"/>
          <w:szCs w:val="24"/>
        </w:rPr>
        <w:t xml:space="preserve"> 20</w:t>
      </w:r>
      <w:r w:rsidRPr="0003308B">
        <w:rPr>
          <w:sz w:val="24"/>
          <w:szCs w:val="24"/>
        </w:rPr>
        <w:t>0 €TTC / personne</w:t>
      </w:r>
    </w:p>
    <w:p w:rsidR="006F6203" w:rsidRDefault="006F6203" w:rsidP="006F6203">
      <w:pPr>
        <w:rPr>
          <w:sz w:val="24"/>
          <w:szCs w:val="24"/>
        </w:rPr>
      </w:pPr>
      <w:r w:rsidRPr="006F6203">
        <w:rPr>
          <w:sz w:val="24"/>
          <w:szCs w:val="24"/>
          <w:u w:val="single"/>
        </w:rPr>
        <w:t>Intervenants :</w:t>
      </w:r>
      <w:r>
        <w:rPr>
          <w:sz w:val="24"/>
          <w:szCs w:val="24"/>
        </w:rPr>
        <w:t xml:space="preserve"> Yves GORGEU, Stéphane LOUKIANOFF</w:t>
      </w:r>
    </w:p>
    <w:p w:rsidR="00C515E4" w:rsidRDefault="00C515E4" w:rsidP="006F6203">
      <w:pPr>
        <w:rPr>
          <w:sz w:val="24"/>
          <w:szCs w:val="24"/>
        </w:rPr>
      </w:pPr>
    </w:p>
    <w:p w:rsidR="00C515E4" w:rsidRPr="006F6203" w:rsidRDefault="00C515E4" w:rsidP="006F6203">
      <w:pPr>
        <w:rPr>
          <w:sz w:val="24"/>
          <w:szCs w:val="24"/>
        </w:rPr>
      </w:pPr>
    </w:p>
    <w:p w:rsidR="0003308B" w:rsidRPr="00EF6B55" w:rsidRDefault="0003308B" w:rsidP="000E242B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6323A2" w:rsidRPr="006323A2" w:rsidRDefault="006323A2" w:rsidP="000E242B">
      <w:pPr>
        <w:jc w:val="center"/>
        <w:rPr>
          <w:b/>
          <w:color w:val="E36C0A" w:themeColor="accent6" w:themeShade="BF"/>
          <w:sz w:val="16"/>
          <w:szCs w:val="16"/>
        </w:rPr>
      </w:pPr>
    </w:p>
    <w:p w:rsidR="00B10630" w:rsidRPr="00662FF4" w:rsidRDefault="006323A2" w:rsidP="000E242B">
      <w:pPr>
        <w:jc w:val="center"/>
        <w:rPr>
          <w:b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Novem</w:t>
      </w:r>
      <w:r w:rsidR="00375382">
        <w:rPr>
          <w:b/>
          <w:color w:val="E36C0A" w:themeColor="accent6" w:themeShade="BF"/>
          <w:sz w:val="28"/>
          <w:szCs w:val="28"/>
        </w:rPr>
        <w:t xml:space="preserve">bre 2015 </w:t>
      </w:r>
      <w:r>
        <w:rPr>
          <w:b/>
          <w:color w:val="E36C0A" w:themeColor="accent6" w:themeShade="BF"/>
          <w:sz w:val="28"/>
          <w:szCs w:val="28"/>
        </w:rPr>
        <w:t xml:space="preserve">– </w:t>
      </w:r>
      <w:r w:rsidR="0017626A">
        <w:rPr>
          <w:b/>
          <w:color w:val="E36C0A" w:themeColor="accent6" w:themeShade="BF"/>
          <w:sz w:val="28"/>
          <w:szCs w:val="28"/>
        </w:rPr>
        <w:t>« </w:t>
      </w:r>
      <w:r>
        <w:rPr>
          <w:b/>
          <w:color w:val="E36C0A" w:themeColor="accent6" w:themeShade="BF"/>
          <w:sz w:val="28"/>
          <w:szCs w:val="28"/>
        </w:rPr>
        <w:t xml:space="preserve">Mettre en place un politique locale de la </w:t>
      </w:r>
      <w:r w:rsidR="00662FF4" w:rsidRPr="000E242B">
        <w:rPr>
          <w:b/>
          <w:color w:val="E36C0A" w:themeColor="accent6" w:themeShade="BF"/>
          <w:sz w:val="28"/>
          <w:szCs w:val="28"/>
        </w:rPr>
        <w:t>participation dans un territoire</w:t>
      </w:r>
      <w:r w:rsidR="0017626A">
        <w:rPr>
          <w:b/>
          <w:color w:val="E36C0A" w:themeColor="accent6" w:themeShade="BF"/>
          <w:sz w:val="28"/>
          <w:szCs w:val="28"/>
        </w:rPr>
        <w:t> »</w:t>
      </w:r>
    </w:p>
    <w:p w:rsidR="00662FF4" w:rsidRPr="00310761" w:rsidRDefault="00662FF4" w:rsidP="00662FF4">
      <w:pPr>
        <w:jc w:val="both"/>
        <w:rPr>
          <w:sz w:val="24"/>
          <w:szCs w:val="24"/>
        </w:rPr>
      </w:pPr>
      <w:r w:rsidRPr="00310761">
        <w:rPr>
          <w:sz w:val="24"/>
          <w:szCs w:val="24"/>
          <w:u w:val="single"/>
        </w:rPr>
        <w:t>Publics ciblés :</w:t>
      </w:r>
      <w:r w:rsidRPr="00310761">
        <w:rPr>
          <w:sz w:val="24"/>
          <w:szCs w:val="24"/>
        </w:rPr>
        <w:t xml:space="preserve"> Agents de développement et élus locaux, services des collectivités territoriales, chargés de mission</w:t>
      </w:r>
      <w:r w:rsidR="00551EE6" w:rsidRPr="00310761">
        <w:rPr>
          <w:sz w:val="24"/>
          <w:szCs w:val="24"/>
        </w:rPr>
        <w:t xml:space="preserve"> et responsables</w:t>
      </w:r>
      <w:r w:rsidRPr="00310761">
        <w:rPr>
          <w:sz w:val="24"/>
          <w:szCs w:val="24"/>
        </w:rPr>
        <w:t xml:space="preserve"> associatifs.</w:t>
      </w:r>
    </w:p>
    <w:p w:rsidR="00662FF4" w:rsidRPr="00310761" w:rsidRDefault="00662FF4" w:rsidP="0029227B">
      <w:pPr>
        <w:jc w:val="both"/>
        <w:rPr>
          <w:sz w:val="24"/>
          <w:szCs w:val="24"/>
        </w:rPr>
      </w:pPr>
      <w:r w:rsidRPr="00310761">
        <w:rPr>
          <w:sz w:val="24"/>
          <w:szCs w:val="24"/>
          <w:u w:val="single"/>
        </w:rPr>
        <w:t>Contenu </w:t>
      </w:r>
      <w:r w:rsidRPr="00310761">
        <w:rPr>
          <w:sz w:val="24"/>
          <w:szCs w:val="24"/>
        </w:rPr>
        <w:t xml:space="preserve">: </w:t>
      </w:r>
      <w:r w:rsidR="0029227B" w:rsidRPr="00310761">
        <w:rPr>
          <w:sz w:val="24"/>
          <w:szCs w:val="24"/>
        </w:rPr>
        <w:t>Cette formation a pour objectif d’identifier les enjeux de la participation démocratique, afin de l’inscrire dans le temps du mandat et de l’action publique. Elle vise aussi à bien identifier l’éventail des outils et des pratiques disponibles ainsi que leurs combinaisons.</w:t>
      </w:r>
    </w:p>
    <w:p w:rsidR="00662FF4" w:rsidRPr="00310761" w:rsidRDefault="00662FF4" w:rsidP="00662FF4">
      <w:pPr>
        <w:jc w:val="both"/>
        <w:rPr>
          <w:sz w:val="24"/>
          <w:szCs w:val="24"/>
        </w:rPr>
      </w:pPr>
      <w:r w:rsidRPr="00310761">
        <w:rPr>
          <w:sz w:val="24"/>
          <w:szCs w:val="24"/>
          <w:u w:val="single"/>
        </w:rPr>
        <w:t>Format :</w:t>
      </w:r>
      <w:r w:rsidRPr="00310761">
        <w:rPr>
          <w:sz w:val="24"/>
          <w:szCs w:val="24"/>
        </w:rPr>
        <w:t xml:space="preserve"> 1 journée (10H – 17H)</w:t>
      </w:r>
    </w:p>
    <w:p w:rsidR="00662FF4" w:rsidRPr="00C245D4" w:rsidRDefault="00662FF4" w:rsidP="00662FF4">
      <w:pPr>
        <w:jc w:val="both"/>
        <w:rPr>
          <w:sz w:val="24"/>
          <w:szCs w:val="24"/>
        </w:rPr>
      </w:pPr>
      <w:r w:rsidRPr="00C245D4">
        <w:rPr>
          <w:sz w:val="24"/>
          <w:szCs w:val="24"/>
          <w:u w:val="single"/>
        </w:rPr>
        <w:t>Lieu :</w:t>
      </w:r>
      <w:r>
        <w:rPr>
          <w:sz w:val="24"/>
          <w:szCs w:val="24"/>
        </w:rPr>
        <w:t xml:space="preserve"> Paris (locaux de l’</w:t>
      </w:r>
      <w:proofErr w:type="spellStart"/>
      <w:r>
        <w:rPr>
          <w:sz w:val="24"/>
          <w:szCs w:val="24"/>
        </w:rPr>
        <w:t>Unadel</w:t>
      </w:r>
      <w:proofErr w:type="spellEnd"/>
      <w:r>
        <w:rPr>
          <w:sz w:val="24"/>
          <w:szCs w:val="24"/>
        </w:rPr>
        <w:t> : 150-154, rue du Faubourg Saint Martin – 75010 Paris)</w:t>
      </w:r>
    </w:p>
    <w:p w:rsidR="00662FF4" w:rsidRDefault="00662FF4" w:rsidP="00662FF4">
      <w:pPr>
        <w:jc w:val="both"/>
        <w:rPr>
          <w:sz w:val="24"/>
          <w:szCs w:val="24"/>
        </w:rPr>
      </w:pPr>
      <w:r w:rsidRPr="00C245D4">
        <w:rPr>
          <w:sz w:val="24"/>
          <w:szCs w:val="24"/>
          <w:u w:val="single"/>
        </w:rPr>
        <w:t>Tarifs :</w:t>
      </w:r>
      <w:r>
        <w:rPr>
          <w:sz w:val="24"/>
          <w:szCs w:val="24"/>
        </w:rPr>
        <w:t xml:space="preserve"> </w:t>
      </w:r>
    </w:p>
    <w:p w:rsidR="00662FF4" w:rsidRDefault="00662FF4" w:rsidP="00662FF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3308B">
        <w:rPr>
          <w:sz w:val="24"/>
          <w:szCs w:val="24"/>
        </w:rPr>
        <w:t xml:space="preserve">Collectivité, EPCI, syndicat mixte : </w:t>
      </w:r>
      <w:r w:rsidR="00310761">
        <w:rPr>
          <w:sz w:val="24"/>
          <w:szCs w:val="24"/>
        </w:rPr>
        <w:t>30</w:t>
      </w:r>
      <w:r w:rsidRPr="0003308B">
        <w:rPr>
          <w:sz w:val="24"/>
          <w:szCs w:val="24"/>
        </w:rPr>
        <w:t>0 €TTC / personne</w:t>
      </w:r>
    </w:p>
    <w:p w:rsidR="00662FF4" w:rsidRDefault="00662FF4" w:rsidP="00662FF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3308B">
        <w:rPr>
          <w:sz w:val="24"/>
          <w:szCs w:val="24"/>
        </w:rPr>
        <w:t>Association :</w:t>
      </w:r>
      <w:r w:rsidR="00310761">
        <w:rPr>
          <w:sz w:val="24"/>
          <w:szCs w:val="24"/>
        </w:rPr>
        <w:t xml:space="preserve"> 20</w:t>
      </w:r>
      <w:r w:rsidRPr="0003308B">
        <w:rPr>
          <w:sz w:val="24"/>
          <w:szCs w:val="24"/>
        </w:rPr>
        <w:t>0 €TTC / personne</w:t>
      </w:r>
    </w:p>
    <w:p w:rsidR="00662FF4" w:rsidRDefault="00206E3C" w:rsidP="00EF6B55">
      <w:pPr>
        <w:rPr>
          <w:sz w:val="24"/>
          <w:szCs w:val="24"/>
        </w:rPr>
      </w:pPr>
      <w:r w:rsidRPr="00206E3C">
        <w:rPr>
          <w:sz w:val="24"/>
          <w:szCs w:val="24"/>
          <w:u w:val="single"/>
        </w:rPr>
        <w:t>Partenariat</w:t>
      </w:r>
      <w:r>
        <w:rPr>
          <w:sz w:val="24"/>
          <w:szCs w:val="24"/>
          <w:u w:val="single"/>
        </w:rPr>
        <w:t> :</w:t>
      </w:r>
      <w:r>
        <w:rPr>
          <w:sz w:val="24"/>
          <w:szCs w:val="24"/>
        </w:rPr>
        <w:t xml:space="preserve"> Cette formation est </w:t>
      </w:r>
      <w:proofErr w:type="spellStart"/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>-organisée avec l’association ARENES.</w:t>
      </w:r>
    </w:p>
    <w:p w:rsidR="002E2A57" w:rsidRDefault="00206E3C" w:rsidP="00EF6B55">
      <w:pPr>
        <w:rPr>
          <w:sz w:val="24"/>
          <w:szCs w:val="24"/>
        </w:rPr>
      </w:pPr>
      <w:r w:rsidRPr="00206E3C">
        <w:rPr>
          <w:sz w:val="24"/>
          <w:szCs w:val="24"/>
          <w:u w:val="single"/>
        </w:rPr>
        <w:t>Intervenants :</w:t>
      </w:r>
      <w:r>
        <w:rPr>
          <w:sz w:val="24"/>
          <w:szCs w:val="24"/>
        </w:rPr>
        <w:t xml:space="preserve"> Jacques PICARD, Etienne BALLAN.</w:t>
      </w:r>
    </w:p>
    <w:p w:rsidR="00B3103C" w:rsidRDefault="002E2A57" w:rsidP="002E2A5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4ABD" w:rsidRPr="00CB4ABD" w:rsidRDefault="00CB4ABD" w:rsidP="00CB4ABD">
      <w:pPr>
        <w:pStyle w:val="Paragraphedeliste"/>
        <w:numPr>
          <w:ilvl w:val="0"/>
          <w:numId w:val="5"/>
        </w:numPr>
        <w:rPr>
          <w:b/>
          <w:smallCaps/>
          <w:sz w:val="32"/>
          <w:szCs w:val="32"/>
        </w:rPr>
      </w:pPr>
      <w:r w:rsidRPr="00CB4ABD">
        <w:rPr>
          <w:b/>
          <w:smallCaps/>
          <w:sz w:val="32"/>
          <w:szCs w:val="32"/>
        </w:rPr>
        <w:lastRenderedPageBreak/>
        <w:t>Le budget prévisionnel 2015 du volet formation de l’</w:t>
      </w:r>
      <w:proofErr w:type="spellStart"/>
      <w:r w:rsidRPr="00CB4ABD">
        <w:rPr>
          <w:b/>
          <w:smallCaps/>
          <w:sz w:val="32"/>
          <w:szCs w:val="32"/>
        </w:rPr>
        <w:t>Unadel</w:t>
      </w:r>
      <w:proofErr w:type="spellEnd"/>
    </w:p>
    <w:tbl>
      <w:tblPr>
        <w:tblW w:w="1134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7"/>
        <w:gridCol w:w="1135"/>
        <w:gridCol w:w="3542"/>
        <w:gridCol w:w="1276"/>
        <w:gridCol w:w="1135"/>
      </w:tblGrid>
      <w:tr w:rsidR="00B3103C" w:rsidRPr="00B3103C" w:rsidTr="009A61DF">
        <w:trPr>
          <w:trHeight w:val="375"/>
        </w:trPr>
        <w:tc>
          <w:tcPr>
            <w:tcW w:w="11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310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Budget prévisionnel des formations </w:t>
            </w:r>
            <w:proofErr w:type="spellStart"/>
            <w:r w:rsidRPr="00B310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Unadel</w:t>
            </w:r>
            <w:proofErr w:type="spellEnd"/>
            <w:r w:rsidRPr="00B310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2015</w:t>
            </w:r>
          </w:p>
        </w:tc>
      </w:tr>
      <w:tr w:rsidR="00B3103C" w:rsidRPr="00B3103C" w:rsidTr="009A61DF">
        <w:trPr>
          <w:trHeight w:val="315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</w:rPr>
              <w:t>Dépenses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</w:rPr>
              <w:t>Recettes</w:t>
            </w:r>
          </w:p>
        </w:tc>
      </w:tr>
      <w:tr w:rsidR="00B3103C" w:rsidRPr="00B3103C" w:rsidTr="009A61DF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452FB8" w:rsidP="00B310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6 f</w:t>
            </w:r>
            <w:r w:rsidR="00B3103C"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ormations nationales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82447E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18</w:t>
            </w:r>
            <w:r w:rsidR="00B3103C"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760,00  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Inscriptions aux 6 formations nationales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21 250,00   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Repas (12 X 30€ X 6J)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           2 160,00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5 X 250 € X 6 journée</w:t>
            </w:r>
            <w:r w:rsidR="00CB7AAE">
              <w:rPr>
                <w:rFonts w:eastAsia="Times New Roman" w:cstheme="minorHAnsi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7 500,00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Déplacements et hébergement </w:t>
            </w:r>
            <w:proofErr w:type="gramStart"/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( 250</w:t>
            </w:r>
            <w:proofErr w:type="gramEnd"/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€ X 6j)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           1 500,00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5 X 125 € X 6 journées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3 750,00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Prestations (700 € X 6j)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           4 200,00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u w:val="single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  <w:u w:val="single"/>
              </w:rPr>
              <w:t>Total : 6 journées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Ingénierie </w:t>
            </w:r>
            <w:proofErr w:type="spellStart"/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Unadel</w:t>
            </w:r>
            <w:proofErr w:type="spellEnd"/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(organisation, animation)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82447E" w:rsidP="00B3103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           10</w:t>
            </w:r>
            <w:r w:rsidR="00B3103C"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900,00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452FB8" w:rsidP="00B310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 f</w:t>
            </w:r>
            <w:r w:rsidR="00B3103C"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ormations-actions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82447E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9</w:t>
            </w:r>
            <w:r w:rsidR="00B3103C"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150,00   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Recettes des 2 formations-actions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10 000,00   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Repas (10 X 20€)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200,00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2 X 1000€ X 5 journées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10 000,00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Déplacements et hébergement (10 X 250€)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2 500,00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u w:val="single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  <w:u w:val="single"/>
              </w:rPr>
              <w:t>Total : 10 journées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Prestations (5 X 500€)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2 500,00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Ingénierie </w:t>
            </w:r>
            <w:proofErr w:type="spellStart"/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Unadel</w:t>
            </w:r>
            <w:proofErr w:type="spellEnd"/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(organisation, animation)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82447E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3</w:t>
            </w:r>
            <w:r w:rsidR="00B3103C"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950,00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="00452FB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f</w:t>
            </w: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ormations "à la carte"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 5 500,00   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Recettes des 2 formations "à la carte"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6 000,00   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Repas (6X20€)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120,00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2 X 1000 € X 3 journées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6 000,00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Déplacements et hébergement (6X250)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1 500,00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u w:val="single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  <w:u w:val="single"/>
              </w:rPr>
              <w:t>Total : 6 journées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Prestations (2X700€)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1 400,00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Ingénierie </w:t>
            </w:r>
            <w:proofErr w:type="spellStart"/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Unadel</w:t>
            </w:r>
            <w:proofErr w:type="spellEnd"/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(organisation, animation)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2 480,00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Interventions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 7 230,00   </w:t>
            </w:r>
          </w:p>
        </w:tc>
        <w:tc>
          <w:tcPr>
            <w:tcW w:w="3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Recettes d'interventions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10 900,00   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Repas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Formation CGET (5 X 1720 €)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8 500,00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Déplacements et hébergement (5X150€)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750,00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6 autres interventions (6 X 400 €)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2 400,00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Prestations (5X800€)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4 000,00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u w:val="single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  <w:u w:val="single"/>
              </w:rPr>
              <w:t>Total : 11 journées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Ingénierie </w:t>
            </w:r>
            <w:proofErr w:type="spellStart"/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Unadel</w:t>
            </w:r>
            <w:proofErr w:type="spellEnd"/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(organisation, animation)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2 480,00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Séminaire itinérant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 3 950,00   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Recettes du séminaire itinérant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4 000,00   </w:t>
            </w:r>
          </w:p>
        </w:tc>
        <w:bookmarkStart w:id="0" w:name="_GoBack"/>
        <w:bookmarkEnd w:id="0"/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Repas (10 X 20€)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200,00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10 X 350€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4 000,00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Prestations (10X175€)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1 750,00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1476CE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u w:val="single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u w:val="single"/>
              </w:rPr>
              <w:t>Total : 10 demi</w:t>
            </w:r>
            <w:r w:rsidR="00B3103C" w:rsidRPr="00B3103C">
              <w:rPr>
                <w:rFonts w:eastAsia="Times New Roman" w:cstheme="minorHAnsi"/>
                <w:color w:val="000000"/>
                <w:sz w:val="16"/>
                <w:szCs w:val="16"/>
                <w:u w:val="single"/>
              </w:rPr>
              <w:t>-journées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Ingénierie </w:t>
            </w:r>
            <w:proofErr w:type="spellStart"/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Unadel</w:t>
            </w:r>
            <w:proofErr w:type="spellEnd"/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 xml:space="preserve"> (organisation, animation)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2 000,00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Communication et gestion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19 650,00   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Recettes de nouvelles adhésions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12 100,00   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Ingénierie de communication (30%)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12 780,00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6 Associations locales (50 € X 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300,00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Gestion administrative (30%)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4 170,00 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3 Associations départementales ou régionales (3X100€)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300,00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Supports de communication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2 700,00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5 Intercommunalités, SM, association nationale (5 X 500€)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2 500,00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2 Conseils généraux tarif de base (2 X 2500€)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5 000,00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ind w:right="79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1 Conseil régional tarif de base (4000€)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4 000,00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103C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B3103C" w:rsidRPr="00B3103C" w:rsidTr="009A61DF">
        <w:trPr>
          <w:trHeight w:val="465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3103C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   64 240,00   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3103C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3103C" w:rsidRPr="00B3103C" w:rsidRDefault="00B3103C" w:rsidP="00B310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B310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 64 250,00   </w:t>
            </w:r>
          </w:p>
        </w:tc>
      </w:tr>
    </w:tbl>
    <w:p w:rsidR="00B3103C" w:rsidRDefault="00B3103C" w:rsidP="00EF6B55">
      <w:pPr>
        <w:rPr>
          <w:sz w:val="24"/>
          <w:szCs w:val="24"/>
        </w:rPr>
      </w:pPr>
    </w:p>
    <w:p w:rsidR="00B3103C" w:rsidRPr="00206E3C" w:rsidRDefault="00B3103C" w:rsidP="00EF6B55">
      <w:pPr>
        <w:rPr>
          <w:sz w:val="28"/>
          <w:szCs w:val="28"/>
        </w:rPr>
      </w:pPr>
      <w:r w:rsidRPr="00206E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9D115" wp14:editId="6F26D04B">
                <wp:simplePos x="0" y="0"/>
                <wp:positionH relativeFrom="column">
                  <wp:posOffset>156845</wp:posOffset>
                </wp:positionH>
                <wp:positionV relativeFrom="paragraph">
                  <wp:posOffset>6731635</wp:posOffset>
                </wp:positionV>
                <wp:extent cx="5591175" cy="97155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03C" w:rsidRPr="00F73765" w:rsidRDefault="00B3103C" w:rsidP="00B3103C">
                            <w:pPr>
                              <w:rPr>
                                <w:b/>
                                <w:i/>
                              </w:rPr>
                            </w:pPr>
                            <w:r w:rsidRPr="00F73765">
                              <w:rPr>
                                <w:b/>
                                <w:i/>
                              </w:rPr>
                              <w:t>Organisation et coordination des actions de formation :</w:t>
                            </w:r>
                          </w:p>
                          <w:p w:rsidR="00B3103C" w:rsidRPr="00F73765" w:rsidRDefault="00B3103C" w:rsidP="00B3103C">
                            <w:pPr>
                              <w:rPr>
                                <w:i/>
                              </w:rPr>
                            </w:pPr>
                            <w:r w:rsidRPr="00F73765">
                              <w:rPr>
                                <w:i/>
                              </w:rPr>
                              <w:t xml:space="preserve">Stéphane </w:t>
                            </w:r>
                            <w:proofErr w:type="spellStart"/>
                            <w:r w:rsidRPr="00F73765">
                              <w:rPr>
                                <w:i/>
                              </w:rPr>
                              <w:t>Loukianoff</w:t>
                            </w:r>
                            <w:proofErr w:type="spellEnd"/>
                            <w:r w:rsidRPr="00F73765">
                              <w:rPr>
                                <w:i/>
                              </w:rPr>
                              <w:t xml:space="preserve">, Délégué général </w:t>
                            </w:r>
                            <w:proofErr w:type="spellStart"/>
                            <w:r w:rsidRPr="00F73765">
                              <w:rPr>
                                <w:i/>
                              </w:rPr>
                              <w:t>Unadel</w:t>
                            </w:r>
                            <w:proofErr w:type="spellEnd"/>
                            <w:r w:rsidRPr="00F73765">
                              <w:rPr>
                                <w:i/>
                              </w:rPr>
                              <w:t xml:space="preserve"> – 01 45 75 91 55 – 06 71 71 57 17</w:t>
                            </w:r>
                          </w:p>
                          <w:p w:rsidR="00B3103C" w:rsidRPr="00F73765" w:rsidRDefault="00B3103C" w:rsidP="00B3103C">
                            <w:pPr>
                              <w:rPr>
                                <w:i/>
                              </w:rPr>
                            </w:pPr>
                            <w:r w:rsidRPr="00F73765">
                              <w:rPr>
                                <w:i/>
                              </w:rPr>
                              <w:t>unadel@wanadoo.fr</w:t>
                            </w:r>
                          </w:p>
                          <w:p w:rsidR="00B3103C" w:rsidRDefault="00B3103C" w:rsidP="00B310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.35pt;margin-top:530.05pt;width:440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">
                <v:textbox>
                  <w:txbxContent>
                    <w:p w:rsidR="00B3103C" w:rsidRPr="00F73765" w:rsidRDefault="00B3103C" w:rsidP="00B3103C">
                      <w:pPr>
                        <w:rPr>
                          <w:b/>
                          <w:i/>
                        </w:rPr>
                      </w:pPr>
                      <w:r w:rsidRPr="00F73765">
                        <w:rPr>
                          <w:b/>
                          <w:i/>
                        </w:rPr>
                        <w:t>Organisation et coordination des actions de formation :</w:t>
                      </w:r>
                    </w:p>
                    <w:p w:rsidR="00B3103C" w:rsidRPr="00F73765" w:rsidRDefault="00B3103C" w:rsidP="00B3103C">
                      <w:pPr>
                        <w:rPr>
                          <w:i/>
                        </w:rPr>
                      </w:pPr>
                      <w:r w:rsidRPr="00F73765">
                        <w:rPr>
                          <w:i/>
                        </w:rPr>
                        <w:t xml:space="preserve">Stéphane </w:t>
                      </w:r>
                      <w:proofErr w:type="spellStart"/>
                      <w:r w:rsidRPr="00F73765">
                        <w:rPr>
                          <w:i/>
                        </w:rPr>
                        <w:t>Loukianoff</w:t>
                      </w:r>
                      <w:proofErr w:type="spellEnd"/>
                      <w:r w:rsidRPr="00F73765">
                        <w:rPr>
                          <w:i/>
                        </w:rPr>
                        <w:t xml:space="preserve">, Délégué général </w:t>
                      </w:r>
                      <w:proofErr w:type="spellStart"/>
                      <w:r w:rsidRPr="00F73765">
                        <w:rPr>
                          <w:i/>
                        </w:rPr>
                        <w:t>Unadel</w:t>
                      </w:r>
                      <w:proofErr w:type="spellEnd"/>
                      <w:r w:rsidRPr="00F73765">
                        <w:rPr>
                          <w:i/>
                        </w:rPr>
                        <w:t xml:space="preserve"> – 01 45 75 91 55 – 06 71 71 57 17</w:t>
                      </w:r>
                    </w:p>
                    <w:p w:rsidR="00B3103C" w:rsidRPr="00F73765" w:rsidRDefault="00B3103C" w:rsidP="00B3103C">
                      <w:pPr>
                        <w:rPr>
                          <w:i/>
                        </w:rPr>
                      </w:pPr>
                      <w:r w:rsidRPr="00F73765">
                        <w:rPr>
                          <w:i/>
                        </w:rPr>
                        <w:t>unadel@wanadoo.fr</w:t>
                      </w:r>
                    </w:p>
                    <w:p w:rsidR="00B3103C" w:rsidRDefault="00B3103C" w:rsidP="00B3103C"/>
                  </w:txbxContent>
                </v:textbox>
              </v:shape>
            </w:pict>
          </mc:Fallback>
        </mc:AlternateContent>
      </w:r>
    </w:p>
    <w:sectPr w:rsidR="00B3103C" w:rsidRPr="00206E3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C0" w:rsidRDefault="003910C0" w:rsidP="0003308B">
      <w:pPr>
        <w:spacing w:after="0" w:line="240" w:lineRule="auto"/>
      </w:pPr>
      <w:r>
        <w:separator/>
      </w:r>
    </w:p>
  </w:endnote>
  <w:endnote w:type="continuationSeparator" w:id="0">
    <w:p w:rsidR="003910C0" w:rsidRDefault="003910C0" w:rsidP="0003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B3" w:rsidRDefault="004D6DB3" w:rsidP="004D6DB3">
    <w:pPr>
      <w:pStyle w:val="Pieddepage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 w:rsidRPr="004D6DB3">
      <w:rPr>
        <w:rFonts w:asciiTheme="majorHAnsi" w:eastAsiaTheme="majorEastAsia" w:hAnsiTheme="majorHAnsi" w:cstheme="majorBidi"/>
        <w:sz w:val="20"/>
        <w:szCs w:val="20"/>
      </w:rPr>
      <w:t xml:space="preserve">UNADEL – 150-154, rue du Faubourg Saint Martin – 75010 Paris – </w:t>
    </w:r>
    <w:hyperlink r:id="rId1" w:history="1">
      <w:r w:rsidRPr="004D6DB3">
        <w:rPr>
          <w:rStyle w:val="Lienhypertexte"/>
          <w:rFonts w:asciiTheme="majorHAnsi" w:eastAsiaTheme="majorEastAsia" w:hAnsiTheme="majorHAnsi" w:cstheme="majorBidi"/>
          <w:sz w:val="20"/>
          <w:szCs w:val="20"/>
        </w:rPr>
        <w:t>unadel@wanadoo.fr</w:t>
      </w:r>
    </w:hyperlink>
    <w:r w:rsidRPr="004D6DB3">
      <w:rPr>
        <w:rFonts w:asciiTheme="majorHAnsi" w:eastAsiaTheme="majorEastAsia" w:hAnsiTheme="majorHAnsi" w:cstheme="majorBidi"/>
        <w:sz w:val="20"/>
        <w:szCs w:val="20"/>
      </w:rPr>
      <w:t xml:space="preserve"> – </w:t>
    </w:r>
    <w:hyperlink r:id="rId2" w:history="1">
      <w:r w:rsidRPr="004D6DB3">
        <w:rPr>
          <w:rStyle w:val="Lienhypertexte"/>
          <w:rFonts w:asciiTheme="majorHAnsi" w:eastAsiaTheme="majorEastAsia" w:hAnsiTheme="majorHAnsi" w:cstheme="majorBidi"/>
          <w:sz w:val="20"/>
          <w:szCs w:val="20"/>
        </w:rPr>
        <w:t>www.unadel.asso.fr</w:t>
      </w:r>
    </w:hyperlink>
    <w:r w:rsidRPr="004D6DB3">
      <w:rPr>
        <w:rFonts w:asciiTheme="majorHAnsi" w:eastAsiaTheme="majorEastAsia" w:hAnsiTheme="majorHAnsi" w:cstheme="majorBidi"/>
        <w:sz w:val="20"/>
        <w:szCs w:val="20"/>
      </w:rPr>
      <w:t xml:space="preserve"> – Tel : 01 45 75 91 55 – 06 71 71 57 17.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52FB8" w:rsidRPr="00452FB8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3F090D" w:rsidRDefault="003F09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C0" w:rsidRDefault="003910C0" w:rsidP="0003308B">
      <w:pPr>
        <w:spacing w:after="0" w:line="240" w:lineRule="auto"/>
      </w:pPr>
      <w:r>
        <w:separator/>
      </w:r>
    </w:p>
  </w:footnote>
  <w:footnote w:type="continuationSeparator" w:id="0">
    <w:p w:rsidR="003910C0" w:rsidRDefault="003910C0" w:rsidP="0003308B">
      <w:pPr>
        <w:spacing w:after="0" w:line="240" w:lineRule="auto"/>
      </w:pPr>
      <w:r>
        <w:continuationSeparator/>
      </w:r>
    </w:p>
  </w:footnote>
  <w:footnote w:id="1">
    <w:p w:rsidR="003F090D" w:rsidRPr="003F090D" w:rsidRDefault="003F090D">
      <w:pPr>
        <w:pStyle w:val="Notedebasdepage"/>
        <w:rPr>
          <w:i/>
          <w:sz w:val="16"/>
          <w:szCs w:val="16"/>
        </w:rPr>
      </w:pPr>
      <w:r w:rsidRPr="003F090D">
        <w:rPr>
          <w:rStyle w:val="Appelnotedebasdep"/>
          <w:i/>
          <w:sz w:val="16"/>
          <w:szCs w:val="16"/>
        </w:rPr>
        <w:footnoteRef/>
      </w:r>
      <w:r w:rsidRPr="003F090D">
        <w:rPr>
          <w:i/>
          <w:sz w:val="16"/>
          <w:szCs w:val="16"/>
        </w:rPr>
        <w:t xml:space="preserve"> Adhésion au tarif de base</w:t>
      </w:r>
    </w:p>
  </w:footnote>
  <w:footnote w:id="2">
    <w:p w:rsidR="003F090D" w:rsidRDefault="003F090D">
      <w:pPr>
        <w:pStyle w:val="Notedebasdepage"/>
      </w:pPr>
      <w:r w:rsidRPr="003F090D">
        <w:rPr>
          <w:rStyle w:val="Appelnotedebasdep"/>
          <w:i/>
          <w:sz w:val="16"/>
          <w:szCs w:val="16"/>
        </w:rPr>
        <w:footnoteRef/>
      </w:r>
      <w:r w:rsidRPr="003F090D">
        <w:rPr>
          <w:i/>
          <w:sz w:val="16"/>
          <w:szCs w:val="16"/>
        </w:rPr>
        <w:t xml:space="preserve"> Adhésion </w:t>
      </w:r>
      <w:r>
        <w:rPr>
          <w:i/>
          <w:sz w:val="16"/>
          <w:szCs w:val="16"/>
        </w:rPr>
        <w:t xml:space="preserve">au tarif </w:t>
      </w:r>
      <w:r w:rsidRPr="003F090D">
        <w:rPr>
          <w:i/>
          <w:sz w:val="16"/>
          <w:szCs w:val="16"/>
        </w:rPr>
        <w:t>de soutien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0D" w:rsidRDefault="003910C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1340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0D" w:rsidRDefault="003910C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1341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0D" w:rsidRDefault="003910C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1339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2C"/>
    <w:multiLevelType w:val="hybridMultilevel"/>
    <w:tmpl w:val="F928F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5908"/>
    <w:multiLevelType w:val="hybridMultilevel"/>
    <w:tmpl w:val="199266FA"/>
    <w:lvl w:ilvl="0" w:tplc="2C2CFD74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176CB"/>
    <w:multiLevelType w:val="hybridMultilevel"/>
    <w:tmpl w:val="4202A0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4252C"/>
    <w:multiLevelType w:val="hybridMultilevel"/>
    <w:tmpl w:val="7A8822C4"/>
    <w:lvl w:ilvl="0" w:tplc="9A6A41AA">
      <w:start w:val="1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272F1A"/>
    <w:multiLevelType w:val="hybridMultilevel"/>
    <w:tmpl w:val="87E4D2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59"/>
    <w:rsid w:val="0003308B"/>
    <w:rsid w:val="000E242B"/>
    <w:rsid w:val="00117C94"/>
    <w:rsid w:val="001476CE"/>
    <w:rsid w:val="0017626A"/>
    <w:rsid w:val="001A5A58"/>
    <w:rsid w:val="00206E3C"/>
    <w:rsid w:val="0029227B"/>
    <w:rsid w:val="002E2A57"/>
    <w:rsid w:val="00310761"/>
    <w:rsid w:val="00347D56"/>
    <w:rsid w:val="00375382"/>
    <w:rsid w:val="003910C0"/>
    <w:rsid w:val="003A36B8"/>
    <w:rsid w:val="003C2AB1"/>
    <w:rsid w:val="003F090D"/>
    <w:rsid w:val="00452FB8"/>
    <w:rsid w:val="004D6DB3"/>
    <w:rsid w:val="005301A5"/>
    <w:rsid w:val="00551EE6"/>
    <w:rsid w:val="005A2E20"/>
    <w:rsid w:val="005F6F0E"/>
    <w:rsid w:val="00603065"/>
    <w:rsid w:val="00610BFD"/>
    <w:rsid w:val="006323A2"/>
    <w:rsid w:val="00646189"/>
    <w:rsid w:val="00662FF4"/>
    <w:rsid w:val="006F6203"/>
    <w:rsid w:val="00756F60"/>
    <w:rsid w:val="007C6EFC"/>
    <w:rsid w:val="0082447E"/>
    <w:rsid w:val="00831C43"/>
    <w:rsid w:val="008B242F"/>
    <w:rsid w:val="00940729"/>
    <w:rsid w:val="009435FA"/>
    <w:rsid w:val="009A61DF"/>
    <w:rsid w:val="009B3266"/>
    <w:rsid w:val="00AD4EF1"/>
    <w:rsid w:val="00B10630"/>
    <w:rsid w:val="00B3103C"/>
    <w:rsid w:val="00BB2C59"/>
    <w:rsid w:val="00C245D4"/>
    <w:rsid w:val="00C26523"/>
    <w:rsid w:val="00C515E4"/>
    <w:rsid w:val="00C64595"/>
    <w:rsid w:val="00CB4ABD"/>
    <w:rsid w:val="00CB7AAE"/>
    <w:rsid w:val="00D849A9"/>
    <w:rsid w:val="00E233F7"/>
    <w:rsid w:val="00E41F6E"/>
    <w:rsid w:val="00EF6B55"/>
    <w:rsid w:val="00F2340C"/>
    <w:rsid w:val="00F73765"/>
    <w:rsid w:val="00FA35C0"/>
    <w:rsid w:val="00F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C5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45D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30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30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308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F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90D"/>
  </w:style>
  <w:style w:type="paragraph" w:styleId="Pieddepage">
    <w:name w:val="footer"/>
    <w:basedOn w:val="Normal"/>
    <w:link w:val="PieddepageCar"/>
    <w:uiPriority w:val="99"/>
    <w:unhideWhenUsed/>
    <w:rsid w:val="003F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90D"/>
  </w:style>
  <w:style w:type="character" w:styleId="Lienhypertexte">
    <w:name w:val="Hyperlink"/>
    <w:basedOn w:val="Policepardfaut"/>
    <w:uiPriority w:val="99"/>
    <w:unhideWhenUsed/>
    <w:rsid w:val="004D6DB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C5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45D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30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30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308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F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90D"/>
  </w:style>
  <w:style w:type="paragraph" w:styleId="Pieddepage">
    <w:name w:val="footer"/>
    <w:basedOn w:val="Normal"/>
    <w:link w:val="PieddepageCar"/>
    <w:uiPriority w:val="99"/>
    <w:unhideWhenUsed/>
    <w:rsid w:val="003F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90D"/>
  </w:style>
  <w:style w:type="character" w:styleId="Lienhypertexte">
    <w:name w:val="Hyperlink"/>
    <w:basedOn w:val="Policepardfaut"/>
    <w:uiPriority w:val="99"/>
    <w:unhideWhenUsed/>
    <w:rsid w:val="004D6DB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adel.asso.fr" TargetMode="External"/><Relationship Id="rId1" Type="http://schemas.openxmlformats.org/officeDocument/2006/relationships/hyperlink" Target="mailto:unadel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12946-4C23-4351-8ED5-32AF891D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1597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Stéphane</cp:lastModifiedBy>
  <cp:revision>31</cp:revision>
  <dcterms:created xsi:type="dcterms:W3CDTF">2015-01-31T10:05:00Z</dcterms:created>
  <dcterms:modified xsi:type="dcterms:W3CDTF">2015-02-01T18:32:00Z</dcterms:modified>
</cp:coreProperties>
</file>