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34" w:rsidRDefault="00323C44" w:rsidP="00FB1E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23EE3C" wp14:editId="43776324">
            <wp:simplePos x="0" y="0"/>
            <wp:positionH relativeFrom="column">
              <wp:posOffset>4710430</wp:posOffset>
            </wp:positionH>
            <wp:positionV relativeFrom="paragraph">
              <wp:posOffset>-320078</wp:posOffset>
            </wp:positionV>
            <wp:extent cx="1381125" cy="87760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 initiative_Rou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83" cy="88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7980022" wp14:editId="1D4A17CF">
            <wp:simplePos x="0" y="0"/>
            <wp:positionH relativeFrom="column">
              <wp:posOffset>3157855</wp:posOffset>
            </wp:positionH>
            <wp:positionV relativeFrom="paragraph">
              <wp:posOffset>195580</wp:posOffset>
            </wp:positionV>
            <wp:extent cx="1552575" cy="410210"/>
            <wp:effectExtent l="0" t="0" r="9525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c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E34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E8012A0" wp14:editId="52576754">
            <wp:extent cx="958850" cy="6140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85" cy="61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34" w:rsidRPr="002303AF" w:rsidRDefault="00FB1E34" w:rsidP="002539D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194310</wp:posOffset>
                </wp:positionV>
                <wp:extent cx="5400675" cy="1409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.9pt;margin-top:15.3pt;width:425.2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" filled="f" strokecolor="#f79646 [3209]" strokeweight="2pt"/>
            </w:pict>
          </mc:Fallback>
        </mc:AlternateContent>
      </w:r>
    </w:p>
    <w:p w:rsidR="004069AB" w:rsidRDefault="00FB1E34" w:rsidP="004069AB">
      <w:pPr>
        <w:jc w:val="center"/>
        <w:rPr>
          <w:b/>
          <w:sz w:val="28"/>
          <w:szCs w:val="28"/>
        </w:rPr>
      </w:pPr>
      <w:r w:rsidRPr="002303AF">
        <w:rPr>
          <w:b/>
          <w:sz w:val="28"/>
          <w:szCs w:val="28"/>
        </w:rPr>
        <w:t xml:space="preserve">FICHE </w:t>
      </w:r>
      <w:r w:rsidR="00265E77">
        <w:rPr>
          <w:b/>
          <w:sz w:val="28"/>
          <w:szCs w:val="28"/>
        </w:rPr>
        <w:t>MEMO</w:t>
      </w:r>
      <w:r w:rsidR="000979E5">
        <w:rPr>
          <w:b/>
          <w:sz w:val="28"/>
          <w:szCs w:val="28"/>
        </w:rPr>
        <w:t xml:space="preserve"> </w:t>
      </w:r>
      <w:r w:rsidRPr="002303AF">
        <w:rPr>
          <w:b/>
          <w:sz w:val="28"/>
          <w:szCs w:val="28"/>
        </w:rPr>
        <w:t xml:space="preserve">DE L’EXPERIMENTATION NATIONALE                                  </w:t>
      </w:r>
      <w:r w:rsidR="00FD3812">
        <w:rPr>
          <w:b/>
          <w:sz w:val="28"/>
          <w:szCs w:val="28"/>
        </w:rPr>
        <w:t xml:space="preserve">     « S’organiser pour innover :                                                                                              quand les territoires conduisent le changement</w:t>
      </w:r>
      <w:r w:rsidRPr="002303AF">
        <w:rPr>
          <w:b/>
          <w:sz w:val="28"/>
          <w:szCs w:val="28"/>
        </w:rPr>
        <w:t>»</w:t>
      </w:r>
    </w:p>
    <w:p w:rsidR="00265E77" w:rsidRPr="00265E77" w:rsidRDefault="00265E77" w:rsidP="004069AB">
      <w:pPr>
        <w:jc w:val="center"/>
        <w:rPr>
          <w:b/>
          <w:i/>
          <w:color w:val="FF0000"/>
          <w:sz w:val="24"/>
          <w:szCs w:val="24"/>
        </w:rPr>
      </w:pPr>
      <w:r w:rsidRPr="00265E77">
        <w:rPr>
          <w:b/>
          <w:i/>
          <w:color w:val="FF0000"/>
          <w:sz w:val="24"/>
          <w:szCs w:val="24"/>
        </w:rPr>
        <w:t>A l’attention des membres du groupe d’accompagnement</w:t>
      </w:r>
    </w:p>
    <w:p w:rsidR="00FB1E34" w:rsidRPr="00FB1E34" w:rsidRDefault="00FB1E34">
      <w:pPr>
        <w:rPr>
          <w:rFonts w:cstheme="minorHAnsi"/>
        </w:rPr>
      </w:pPr>
      <w:bookmarkStart w:id="0" w:name="_GoBack"/>
      <w:bookmarkEnd w:id="0"/>
    </w:p>
    <w:p w:rsidR="00D41ECD" w:rsidRPr="00FC4175" w:rsidRDefault="00D41ECD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FC4175">
        <w:rPr>
          <w:rFonts w:cstheme="minorHAnsi"/>
          <w:b/>
          <w:color w:val="E36C0A" w:themeColor="accent6" w:themeShade="BF"/>
          <w:sz w:val="28"/>
          <w:szCs w:val="28"/>
        </w:rPr>
        <w:t>L’expérimentation nationale :</w:t>
      </w:r>
    </w:p>
    <w:p w:rsidR="00D41ECD" w:rsidRPr="00D41ECD" w:rsidRDefault="00D41ECD" w:rsidP="00D41ECD">
      <w:pPr>
        <w:tabs>
          <w:tab w:val="left" w:pos="3544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Une étude et une mise en réseau de</w:t>
      </w:r>
      <w:r w:rsidRPr="00D41ECD">
        <w:rPr>
          <w:sz w:val="24"/>
          <w:szCs w:val="24"/>
        </w:rPr>
        <w:t xml:space="preserve"> </w:t>
      </w:r>
      <w:r w:rsidRPr="004C1B08">
        <w:rPr>
          <w:sz w:val="24"/>
          <w:szCs w:val="24"/>
        </w:rPr>
        <w:t>9 territoires (bassins de vie d’échelle interc</w:t>
      </w:r>
      <w:r>
        <w:rPr>
          <w:sz w:val="24"/>
          <w:szCs w:val="24"/>
        </w:rPr>
        <w:t>ommunale ou intercommunautaire) durant 12 mois.</w:t>
      </w:r>
    </w:p>
    <w:p w:rsidR="00FB1E34" w:rsidRPr="00FC4175" w:rsidRDefault="00FC4175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b/>
          <w:color w:val="E36C0A" w:themeColor="accent6" w:themeShade="BF"/>
          <w:sz w:val="28"/>
          <w:szCs w:val="28"/>
        </w:rPr>
        <w:t>Les o</w:t>
      </w:r>
      <w:r w:rsidR="00FB1E34" w:rsidRPr="00FC4175">
        <w:rPr>
          <w:rFonts w:cstheme="minorHAnsi"/>
          <w:b/>
          <w:color w:val="E36C0A" w:themeColor="accent6" w:themeShade="BF"/>
          <w:sz w:val="28"/>
          <w:szCs w:val="28"/>
        </w:rPr>
        <w:t xml:space="preserve">bjectifs : </w:t>
      </w:r>
    </w:p>
    <w:p w:rsidR="00FB1E34" w:rsidRDefault="00D41ECD" w:rsidP="00D41ECD">
      <w:pPr>
        <w:tabs>
          <w:tab w:val="left" w:pos="3544"/>
        </w:tabs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Pr="001F12CA">
        <w:rPr>
          <w:rFonts w:eastAsia="Times New Roman" w:cstheme="minorHAnsi"/>
          <w:sz w:val="24"/>
          <w:szCs w:val="24"/>
        </w:rPr>
        <w:t xml:space="preserve">nalyser </w:t>
      </w:r>
      <w:r>
        <w:rPr>
          <w:rFonts w:eastAsia="Times New Roman" w:cstheme="minorHAnsi"/>
          <w:sz w:val="24"/>
          <w:szCs w:val="24"/>
        </w:rPr>
        <w:t>le couplage entre d</w:t>
      </w:r>
      <w:r w:rsidRPr="001F12CA">
        <w:rPr>
          <w:rFonts w:eastAsia="Times New Roman" w:cstheme="minorHAnsi"/>
          <w:sz w:val="24"/>
          <w:szCs w:val="24"/>
        </w:rPr>
        <w:t xml:space="preserve">es stratégies de développement </w:t>
      </w:r>
      <w:r>
        <w:rPr>
          <w:rFonts w:eastAsia="Times New Roman" w:cstheme="minorHAnsi"/>
          <w:sz w:val="24"/>
          <w:szCs w:val="24"/>
        </w:rPr>
        <w:t xml:space="preserve">innovantes en matière de transition énergétique ou de tourisme durable </w:t>
      </w:r>
      <w:r w:rsidRPr="001F12CA">
        <w:rPr>
          <w:rFonts w:eastAsia="Times New Roman" w:cstheme="minorHAnsi"/>
          <w:sz w:val="24"/>
          <w:szCs w:val="24"/>
        </w:rPr>
        <w:t>et le fonctionnem</w:t>
      </w:r>
      <w:r>
        <w:rPr>
          <w:rFonts w:eastAsia="Times New Roman" w:cstheme="minorHAnsi"/>
          <w:sz w:val="24"/>
          <w:szCs w:val="24"/>
        </w:rPr>
        <w:t xml:space="preserve">ent de grands territoires. Les stratégies de développement mises en œuvre dans ces territoires impliquent-elles des </w:t>
      </w:r>
      <w:r w:rsidRPr="001F12CA">
        <w:rPr>
          <w:rFonts w:eastAsia="Times New Roman" w:cstheme="minorHAnsi"/>
          <w:sz w:val="24"/>
          <w:szCs w:val="24"/>
        </w:rPr>
        <w:t xml:space="preserve">modalités </w:t>
      </w:r>
      <w:r>
        <w:rPr>
          <w:rFonts w:eastAsia="Times New Roman" w:cstheme="minorHAnsi"/>
          <w:sz w:val="24"/>
          <w:szCs w:val="24"/>
        </w:rPr>
        <w:t xml:space="preserve">particulières </w:t>
      </w:r>
      <w:r w:rsidRPr="001F12CA">
        <w:rPr>
          <w:rFonts w:eastAsia="Times New Roman" w:cstheme="minorHAnsi"/>
          <w:sz w:val="24"/>
          <w:szCs w:val="24"/>
        </w:rPr>
        <w:t>de gouvernance, de coopération</w:t>
      </w:r>
      <w:r>
        <w:rPr>
          <w:rFonts w:eastAsia="Times New Roman" w:cstheme="minorHAnsi"/>
          <w:sz w:val="24"/>
          <w:szCs w:val="24"/>
        </w:rPr>
        <w:t xml:space="preserve"> et d’organisation ? Quelles </w:t>
      </w:r>
      <w:r w:rsidRPr="001F12CA">
        <w:rPr>
          <w:rFonts w:eastAsia="Times New Roman" w:cstheme="minorHAnsi"/>
          <w:sz w:val="24"/>
          <w:szCs w:val="24"/>
        </w:rPr>
        <w:t>clefs de réussite </w:t>
      </w:r>
      <w:r>
        <w:rPr>
          <w:rFonts w:eastAsia="Times New Roman" w:cstheme="minorHAnsi"/>
          <w:sz w:val="24"/>
          <w:szCs w:val="24"/>
        </w:rPr>
        <w:t xml:space="preserve">pourraient être transférées </w:t>
      </w:r>
      <w:r w:rsidRPr="001F12CA">
        <w:rPr>
          <w:rFonts w:eastAsia="Times New Roman" w:cstheme="minorHAnsi"/>
          <w:sz w:val="24"/>
          <w:szCs w:val="24"/>
        </w:rPr>
        <w:t>auprès des nombreu</w:t>
      </w:r>
      <w:r>
        <w:rPr>
          <w:rFonts w:eastAsia="Times New Roman" w:cstheme="minorHAnsi"/>
          <w:sz w:val="24"/>
          <w:szCs w:val="24"/>
        </w:rPr>
        <w:t>x autres territoires concernés par ces champs d’actions ?</w:t>
      </w:r>
    </w:p>
    <w:p w:rsidR="00FB1E34" w:rsidRPr="00FC4175" w:rsidRDefault="00FC4175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b/>
          <w:color w:val="E36C0A" w:themeColor="accent6" w:themeShade="BF"/>
          <w:sz w:val="28"/>
          <w:szCs w:val="28"/>
        </w:rPr>
        <w:t>Les o</w:t>
      </w:r>
      <w:r w:rsidR="00FB1E34" w:rsidRPr="00FC4175">
        <w:rPr>
          <w:rFonts w:cstheme="minorHAnsi"/>
          <w:b/>
          <w:color w:val="E36C0A" w:themeColor="accent6" w:themeShade="BF"/>
          <w:sz w:val="28"/>
          <w:szCs w:val="28"/>
        </w:rPr>
        <w:t>rganisateurs :</w:t>
      </w:r>
    </w:p>
    <w:p w:rsidR="00FB1E34" w:rsidRDefault="00FB1E34" w:rsidP="00FB1E34">
      <w:pPr>
        <w:pStyle w:val="Paragraphedeliste"/>
        <w:tabs>
          <w:tab w:val="left" w:pos="3544"/>
        </w:tabs>
        <w:jc w:val="both"/>
        <w:rPr>
          <w:rFonts w:cstheme="minorHAnsi"/>
          <w:b/>
          <w:sz w:val="24"/>
          <w:szCs w:val="24"/>
        </w:rPr>
      </w:pPr>
    </w:p>
    <w:p w:rsidR="00FB1E34" w:rsidRPr="00FB1E34" w:rsidRDefault="00FB1E34" w:rsidP="00FB1E34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 w:rsidRPr="00FB1E34">
        <w:rPr>
          <w:rFonts w:cstheme="minorHAnsi"/>
          <w:sz w:val="24"/>
          <w:szCs w:val="24"/>
        </w:rPr>
        <w:t>Mairie-Conseils</w:t>
      </w:r>
      <w:r>
        <w:rPr>
          <w:rFonts w:cstheme="minorHAnsi"/>
          <w:sz w:val="24"/>
          <w:szCs w:val="24"/>
        </w:rPr>
        <w:t xml:space="preserve"> et la Caisse des Dépôts et Consignations</w:t>
      </w:r>
    </w:p>
    <w:p w:rsidR="00FB1E34" w:rsidRPr="00FB1E34" w:rsidRDefault="00FB1E34" w:rsidP="00FB1E34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 w:rsidRPr="00FB1E34">
        <w:rPr>
          <w:rFonts w:cstheme="minorHAnsi"/>
          <w:sz w:val="24"/>
          <w:szCs w:val="24"/>
        </w:rPr>
        <w:t>L’UNADEL (Union nationale des acteurs et des structures du développement local)</w:t>
      </w:r>
    </w:p>
    <w:p w:rsidR="00FB1E34" w:rsidRPr="00FB1E34" w:rsidRDefault="00FB1E34" w:rsidP="00FB1E34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 w:rsidRPr="00FB1E34">
        <w:rPr>
          <w:rFonts w:cstheme="minorHAnsi"/>
          <w:sz w:val="24"/>
          <w:szCs w:val="24"/>
        </w:rPr>
        <w:t>Le Collectif Ville-Campagne</w:t>
      </w:r>
    </w:p>
    <w:p w:rsidR="00FB1E34" w:rsidRDefault="00FB1E34" w:rsidP="00FB1E34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 w:rsidRPr="00FB1E34">
        <w:rPr>
          <w:rFonts w:cstheme="minorHAnsi"/>
          <w:sz w:val="24"/>
          <w:szCs w:val="24"/>
        </w:rPr>
        <w:t>L’association 4D</w:t>
      </w:r>
    </w:p>
    <w:p w:rsidR="00FB1E34" w:rsidRDefault="00FB1E34" w:rsidP="00FB1E34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Carrefour des Pays Lorrains</w:t>
      </w:r>
    </w:p>
    <w:p w:rsidR="00FB1E34" w:rsidRPr="00FB1E34" w:rsidRDefault="00FB1E34" w:rsidP="00FB1E34">
      <w:pPr>
        <w:pStyle w:val="Paragraphedeliste"/>
        <w:tabs>
          <w:tab w:val="left" w:pos="3544"/>
        </w:tabs>
        <w:ind w:left="1440"/>
        <w:jc w:val="both"/>
        <w:rPr>
          <w:rFonts w:cstheme="minorHAnsi"/>
          <w:sz w:val="24"/>
          <w:szCs w:val="24"/>
        </w:rPr>
      </w:pPr>
    </w:p>
    <w:p w:rsidR="00FB1E34" w:rsidRPr="00FC4175" w:rsidRDefault="00FC4175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b/>
          <w:color w:val="E36C0A" w:themeColor="accent6" w:themeShade="BF"/>
          <w:sz w:val="28"/>
          <w:szCs w:val="28"/>
        </w:rPr>
        <w:t>La valeur ajoutée</w:t>
      </w:r>
      <w:r w:rsidR="00FB1E34" w:rsidRPr="00FC4175">
        <w:rPr>
          <w:rFonts w:cstheme="minorHAnsi"/>
          <w:b/>
          <w:color w:val="E36C0A" w:themeColor="accent6" w:themeShade="BF"/>
          <w:sz w:val="28"/>
          <w:szCs w:val="28"/>
        </w:rPr>
        <w:t xml:space="preserve"> pour les territoires participants : </w:t>
      </w:r>
    </w:p>
    <w:p w:rsidR="00D41ECD" w:rsidRDefault="00D41ECD" w:rsidP="002539DB">
      <w:pPr>
        <w:pStyle w:val="Paragraphedeliste"/>
        <w:tabs>
          <w:tab w:val="left" w:pos="3544"/>
        </w:tabs>
        <w:ind w:left="360"/>
        <w:jc w:val="both"/>
        <w:rPr>
          <w:rFonts w:cstheme="minorHAnsi"/>
          <w:color w:val="E36C0A" w:themeColor="accent6" w:themeShade="BF"/>
          <w:sz w:val="24"/>
          <w:szCs w:val="24"/>
        </w:rPr>
      </w:pPr>
    </w:p>
    <w:p w:rsidR="002539DB" w:rsidRDefault="004069AB" w:rsidP="004069AB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 w:rsidRPr="004069AB">
        <w:rPr>
          <w:rFonts w:cstheme="minorHAnsi"/>
          <w:sz w:val="24"/>
          <w:szCs w:val="24"/>
        </w:rPr>
        <w:t>Bénéficier d’une analyse d</w:t>
      </w:r>
      <w:r>
        <w:rPr>
          <w:rFonts w:cstheme="minorHAnsi"/>
          <w:sz w:val="24"/>
          <w:szCs w:val="24"/>
        </w:rPr>
        <w:t>u fonctionnement de leur territ</w:t>
      </w:r>
      <w:r w:rsidRPr="004069AB">
        <w:rPr>
          <w:rFonts w:cstheme="minorHAnsi"/>
          <w:sz w:val="24"/>
          <w:szCs w:val="24"/>
        </w:rPr>
        <w:t>oire</w:t>
      </w:r>
      <w:r>
        <w:rPr>
          <w:rFonts w:cstheme="minorHAnsi"/>
          <w:sz w:val="24"/>
          <w:szCs w:val="24"/>
        </w:rPr>
        <w:t xml:space="preserve"> et d’une restitution collective par des experts en développement local, en développement durable et des chercheurs.</w:t>
      </w:r>
    </w:p>
    <w:p w:rsidR="004069AB" w:rsidRDefault="004069AB" w:rsidP="004069AB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Identifier les leviers et pistes d’améliorations méthodologiques (gouvernance, coopération, organisation de l’ingénierie…)</w:t>
      </w:r>
    </w:p>
    <w:p w:rsidR="00FB1E34" w:rsidRDefault="004069AB" w:rsidP="004069AB">
      <w:pPr>
        <w:pStyle w:val="Paragraphedeliste"/>
        <w:numPr>
          <w:ilvl w:val="0"/>
          <w:numId w:val="2"/>
        </w:numPr>
        <w:tabs>
          <w:tab w:val="left" w:pos="354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Bénéficier d’une mise en réseau avec des acteurs d’autres territoires partageant ces problématiques d’organisation et stratégies de développement.</w:t>
      </w:r>
    </w:p>
    <w:p w:rsidR="00FC4175" w:rsidRPr="00FC4175" w:rsidRDefault="00FC4175" w:rsidP="00FC4175">
      <w:pPr>
        <w:pStyle w:val="Paragraphedeliste"/>
        <w:tabs>
          <w:tab w:val="left" w:pos="3544"/>
        </w:tabs>
        <w:jc w:val="both"/>
        <w:rPr>
          <w:rFonts w:cstheme="minorHAnsi"/>
          <w:sz w:val="24"/>
          <w:szCs w:val="24"/>
        </w:rPr>
      </w:pPr>
    </w:p>
    <w:p w:rsidR="00D41ECD" w:rsidRPr="00FC4175" w:rsidRDefault="00FC4175" w:rsidP="002303AF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  <w:r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Les é</w:t>
      </w:r>
      <w:r w:rsidR="00FB1E34"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 xml:space="preserve">tapes et </w:t>
      </w:r>
      <w:r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 xml:space="preserve">la </w:t>
      </w:r>
      <w:r w:rsidR="00FB1E34"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 xml:space="preserve">durée totale : </w:t>
      </w:r>
    </w:p>
    <w:p w:rsidR="004069AB" w:rsidRPr="002303AF" w:rsidRDefault="004069AB" w:rsidP="004069AB">
      <w:pPr>
        <w:pStyle w:val="Paragraphedeliste"/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</w:p>
    <w:p w:rsidR="00D41ECD" w:rsidRDefault="00D41ECD" w:rsidP="00D41ECD">
      <w:pPr>
        <w:pStyle w:val="Paragraphedeliste"/>
        <w:numPr>
          <w:ilvl w:val="0"/>
          <w:numId w:val="4"/>
        </w:numPr>
        <w:tabs>
          <w:tab w:val="left" w:pos="3544"/>
        </w:tabs>
        <w:jc w:val="both"/>
        <w:rPr>
          <w:sz w:val="24"/>
          <w:szCs w:val="24"/>
        </w:rPr>
      </w:pPr>
      <w:r w:rsidRPr="00FC4175">
        <w:rPr>
          <w:b/>
          <w:sz w:val="24"/>
          <w:szCs w:val="24"/>
        </w:rPr>
        <w:t>Etape 1 : Constitution du groupe d’accompagnement et sélection des territoires</w:t>
      </w:r>
      <w:r w:rsidRPr="00D41ECD">
        <w:rPr>
          <w:sz w:val="24"/>
          <w:szCs w:val="24"/>
        </w:rPr>
        <w:t xml:space="preserve"> </w:t>
      </w:r>
      <w:r>
        <w:rPr>
          <w:sz w:val="24"/>
          <w:szCs w:val="24"/>
        </w:rPr>
        <w:t>(novembre 2014 à janvier2015</w:t>
      </w:r>
      <w:r w:rsidRPr="00D41ECD">
        <w:rPr>
          <w:sz w:val="24"/>
          <w:szCs w:val="24"/>
        </w:rPr>
        <w:t>)</w:t>
      </w:r>
      <w:r w:rsidR="00D2479B">
        <w:rPr>
          <w:sz w:val="24"/>
          <w:szCs w:val="24"/>
        </w:rPr>
        <w:t> : contacts directs avec les acteurs locaux et validation politique.</w:t>
      </w:r>
    </w:p>
    <w:p w:rsidR="00FC4175" w:rsidRPr="00D41ECD" w:rsidRDefault="00FC4175" w:rsidP="00FC4175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</w:p>
    <w:p w:rsidR="00D2479B" w:rsidRPr="00D2479B" w:rsidRDefault="00D41ECD" w:rsidP="00D2479B">
      <w:pPr>
        <w:pStyle w:val="Paragraphedeliste"/>
        <w:numPr>
          <w:ilvl w:val="0"/>
          <w:numId w:val="4"/>
        </w:numPr>
        <w:tabs>
          <w:tab w:val="left" w:pos="3544"/>
        </w:tabs>
        <w:jc w:val="both"/>
        <w:rPr>
          <w:sz w:val="24"/>
          <w:szCs w:val="24"/>
        </w:rPr>
      </w:pPr>
      <w:r w:rsidRPr="00FC4175">
        <w:rPr>
          <w:b/>
          <w:sz w:val="24"/>
          <w:szCs w:val="24"/>
        </w:rPr>
        <w:t>Etape 2 : Ecoute territoriale et réunion du comité de pilotage</w:t>
      </w:r>
      <w:r w:rsidRPr="00D41ECD">
        <w:rPr>
          <w:sz w:val="24"/>
          <w:szCs w:val="24"/>
        </w:rPr>
        <w:t xml:space="preserve"> (jusqu’à fin mars 2015)</w:t>
      </w:r>
      <w:r w:rsidR="00D2479B">
        <w:rPr>
          <w:sz w:val="24"/>
          <w:szCs w:val="24"/>
        </w:rPr>
        <w:t> : Organisation et réalisation durant 1 à 2 jours dans le territoire (sur un même lieu) d’une série d’entretiens individuels et de réunions de groupes. Mobilisation de d’un binôme d’experts en développement local. Possibilité de restitution « à chaud » le soir du premier jour.</w:t>
      </w:r>
    </w:p>
    <w:p w:rsidR="00D2479B" w:rsidRPr="00D2479B" w:rsidRDefault="00D2479B" w:rsidP="00D2479B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</w:p>
    <w:p w:rsidR="00D41ECD" w:rsidRDefault="00D41ECD" w:rsidP="00D41ECD">
      <w:pPr>
        <w:pStyle w:val="Paragraphedeliste"/>
        <w:numPr>
          <w:ilvl w:val="0"/>
          <w:numId w:val="4"/>
        </w:numPr>
        <w:tabs>
          <w:tab w:val="left" w:pos="3544"/>
        </w:tabs>
        <w:jc w:val="both"/>
        <w:rPr>
          <w:sz w:val="24"/>
          <w:szCs w:val="24"/>
        </w:rPr>
      </w:pPr>
      <w:r w:rsidRPr="00FC4175">
        <w:rPr>
          <w:b/>
          <w:sz w:val="24"/>
          <w:szCs w:val="24"/>
        </w:rPr>
        <w:t>Etape 3 : Analyse, synthèse des travaux et restitution</w:t>
      </w:r>
      <w:r w:rsidRPr="00D41ECD">
        <w:rPr>
          <w:sz w:val="24"/>
          <w:szCs w:val="24"/>
        </w:rPr>
        <w:t xml:space="preserve"> (d’avril à juin 2015)</w:t>
      </w:r>
      <w:r w:rsidR="00D2479B">
        <w:rPr>
          <w:sz w:val="24"/>
          <w:szCs w:val="24"/>
        </w:rPr>
        <w:t> :</w:t>
      </w:r>
    </w:p>
    <w:p w:rsidR="00FC4175" w:rsidRDefault="00D2479B" w:rsidP="00FC4175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Rédaction des fiches-reportage pour chaque territoire. Rédaction d’une synthèse globale et restitution devant les représentants des territoires lors d’un séminaire en juin. </w:t>
      </w:r>
    </w:p>
    <w:p w:rsidR="00FC4175" w:rsidRPr="00D41ECD" w:rsidRDefault="00FC4175" w:rsidP="00FC4175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</w:p>
    <w:p w:rsidR="00FC4175" w:rsidRDefault="00D41ECD" w:rsidP="00D2479B">
      <w:pPr>
        <w:pStyle w:val="Paragraphedeliste"/>
        <w:numPr>
          <w:ilvl w:val="0"/>
          <w:numId w:val="4"/>
        </w:numPr>
        <w:tabs>
          <w:tab w:val="left" w:pos="3544"/>
        </w:tabs>
        <w:jc w:val="both"/>
        <w:rPr>
          <w:sz w:val="24"/>
          <w:szCs w:val="24"/>
        </w:rPr>
      </w:pPr>
      <w:r w:rsidRPr="00FC4175">
        <w:rPr>
          <w:b/>
          <w:sz w:val="24"/>
          <w:szCs w:val="24"/>
        </w:rPr>
        <w:t>Etape 4 : Les ateliers thématiques inter territoires</w:t>
      </w:r>
      <w:r w:rsidRPr="00D41ECD">
        <w:rPr>
          <w:sz w:val="24"/>
          <w:szCs w:val="24"/>
        </w:rPr>
        <w:t xml:space="preserve"> (de juin à octobre 2015)</w:t>
      </w:r>
      <w:r w:rsidR="00D2479B">
        <w:rPr>
          <w:sz w:val="24"/>
          <w:szCs w:val="24"/>
        </w:rPr>
        <w:t> : Réalisation d’ateliers inter-territoires autour de problématiques partagées (ex : amélioration de l’ingénierie, des coopérations, de la participation…</w:t>
      </w:r>
      <w:proofErr w:type="gramStart"/>
      <w:r w:rsidR="00D2479B">
        <w:rPr>
          <w:sz w:val="24"/>
          <w:szCs w:val="24"/>
        </w:rPr>
        <w:t>) .</w:t>
      </w:r>
      <w:proofErr w:type="gramEnd"/>
    </w:p>
    <w:p w:rsidR="00D2479B" w:rsidRPr="00D2479B" w:rsidRDefault="00D2479B" w:rsidP="00D2479B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</w:p>
    <w:p w:rsidR="00FB1E34" w:rsidRPr="00D41ECD" w:rsidRDefault="00D41ECD" w:rsidP="00D41ECD">
      <w:pPr>
        <w:pStyle w:val="Paragraphedeliste"/>
        <w:numPr>
          <w:ilvl w:val="0"/>
          <w:numId w:val="5"/>
        </w:numPr>
        <w:tabs>
          <w:tab w:val="left" w:pos="3544"/>
        </w:tabs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FC4175">
        <w:rPr>
          <w:b/>
          <w:sz w:val="24"/>
          <w:szCs w:val="24"/>
        </w:rPr>
        <w:t>Etape 5 : Séminaire et productions finales</w:t>
      </w:r>
      <w:r w:rsidRPr="00D41ECD">
        <w:rPr>
          <w:sz w:val="24"/>
          <w:szCs w:val="24"/>
        </w:rPr>
        <w:t xml:space="preserve"> (novembre et décembre 2015)</w:t>
      </w:r>
      <w:r w:rsidR="00D2479B">
        <w:rPr>
          <w:sz w:val="24"/>
          <w:szCs w:val="24"/>
        </w:rPr>
        <w:t> : rédaction des cahiers thématiques et organisation du séminaire finale.</w:t>
      </w:r>
    </w:p>
    <w:p w:rsidR="00D41ECD" w:rsidRPr="00D41ECD" w:rsidRDefault="00D41ECD" w:rsidP="00D41ECD">
      <w:pPr>
        <w:pStyle w:val="Paragraphedeliste"/>
        <w:tabs>
          <w:tab w:val="left" w:pos="3544"/>
        </w:tabs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FB1E34" w:rsidRPr="00FC4175" w:rsidRDefault="00FC4175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  <w:r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Les p</w:t>
      </w:r>
      <w:r w:rsidR="00FB1E34"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roductions attendues :</w:t>
      </w:r>
    </w:p>
    <w:p w:rsidR="00D41ECD" w:rsidRPr="00FB1E34" w:rsidRDefault="00D41ECD" w:rsidP="00D41ECD">
      <w:pPr>
        <w:pStyle w:val="Paragraphedeliste"/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</w:p>
    <w:p w:rsidR="00D41ECD" w:rsidRDefault="00D41ECD" w:rsidP="00D41ECD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sz w:val="24"/>
          <w:szCs w:val="24"/>
        </w:rPr>
      </w:pPr>
      <w:r w:rsidRPr="001636D8">
        <w:rPr>
          <w:sz w:val="24"/>
          <w:szCs w:val="24"/>
        </w:rPr>
        <w:t xml:space="preserve">Des </w:t>
      </w:r>
      <w:r>
        <w:rPr>
          <w:sz w:val="24"/>
          <w:szCs w:val="24"/>
        </w:rPr>
        <w:t xml:space="preserve"> « fiches reportage » pour chaque territoire</w:t>
      </w:r>
    </w:p>
    <w:p w:rsidR="00D41ECD" w:rsidRPr="00D41ECD" w:rsidRDefault="00D41ECD" w:rsidP="00D41ECD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sz w:val="24"/>
          <w:szCs w:val="24"/>
        </w:rPr>
      </w:pPr>
      <w:r w:rsidRPr="001636D8">
        <w:rPr>
          <w:sz w:val="24"/>
          <w:szCs w:val="24"/>
        </w:rPr>
        <w:t>Une synthèse issue de l’écoute territoriale</w:t>
      </w:r>
    </w:p>
    <w:p w:rsidR="00FB1E34" w:rsidRDefault="00D41ECD" w:rsidP="00D41ECD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 cahiers ciblés sur les thématiques travaillées en ateliers inter territoires</w:t>
      </w:r>
    </w:p>
    <w:p w:rsidR="00D2479B" w:rsidRDefault="00D2479B" w:rsidP="00D41ECD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sz w:val="24"/>
          <w:szCs w:val="24"/>
        </w:rPr>
      </w:pPr>
      <w:r w:rsidRPr="00D2479B">
        <w:rPr>
          <w:sz w:val="24"/>
          <w:szCs w:val="24"/>
        </w:rPr>
        <w:t>Un séminaire national</w:t>
      </w:r>
      <w:r w:rsidRPr="00031E50">
        <w:rPr>
          <w:sz w:val="24"/>
          <w:szCs w:val="24"/>
        </w:rPr>
        <w:t xml:space="preserve"> sera réalisé avec les participants et les partenaires de l’expérimentation lors de la présentation finale des résultats (</w:t>
      </w:r>
      <w:r>
        <w:rPr>
          <w:sz w:val="24"/>
          <w:szCs w:val="24"/>
        </w:rPr>
        <w:t>début 2016</w:t>
      </w:r>
      <w:r w:rsidRPr="00031E50">
        <w:rPr>
          <w:sz w:val="24"/>
          <w:szCs w:val="24"/>
        </w:rPr>
        <w:t>).</w:t>
      </w:r>
    </w:p>
    <w:p w:rsidR="00D41ECD" w:rsidRPr="00D41ECD" w:rsidRDefault="00D41ECD" w:rsidP="00D41ECD">
      <w:pPr>
        <w:pStyle w:val="Paragraphedeliste"/>
        <w:tabs>
          <w:tab w:val="left" w:pos="3544"/>
        </w:tabs>
        <w:jc w:val="both"/>
        <w:rPr>
          <w:sz w:val="24"/>
          <w:szCs w:val="24"/>
        </w:rPr>
      </w:pPr>
    </w:p>
    <w:p w:rsidR="00FB1E34" w:rsidRDefault="00FC4175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  <w:r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Les a</w:t>
      </w:r>
      <w:r w:rsidR="00FB1E34"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ttentes des organisateurs vis-à-vis des territoires participants :</w:t>
      </w:r>
    </w:p>
    <w:p w:rsidR="00FC4175" w:rsidRPr="00FC4175" w:rsidRDefault="00FC4175" w:rsidP="00FC4175">
      <w:pPr>
        <w:pStyle w:val="Paragraphedeliste"/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</w:p>
    <w:p w:rsidR="00FB1E34" w:rsidRPr="004069AB" w:rsidRDefault="004069AB" w:rsidP="004069AB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  <w:r>
        <w:rPr>
          <w:rFonts w:eastAsiaTheme="minorEastAsia" w:cstheme="minorHAnsi"/>
          <w:kern w:val="24"/>
          <w:sz w:val="24"/>
          <w:szCs w:val="24"/>
        </w:rPr>
        <w:t>Avoir une confirmation écrite de la volonté du territoire (intercommunalité pays, PNR) de participer à cette mise en réseau.</w:t>
      </w:r>
    </w:p>
    <w:p w:rsidR="004069AB" w:rsidRPr="004069AB" w:rsidRDefault="004069AB" w:rsidP="004069AB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  <w:r>
        <w:rPr>
          <w:rFonts w:eastAsiaTheme="minorEastAsia" w:cstheme="minorHAnsi"/>
          <w:kern w:val="24"/>
          <w:sz w:val="24"/>
          <w:szCs w:val="24"/>
        </w:rPr>
        <w:lastRenderedPageBreak/>
        <w:t>Identifier un interlocuteur pivot (référent) au sein de l’équipe d’ingénierie locale pour organiser les rendez-vous sur une journée ou deux journées.</w:t>
      </w:r>
    </w:p>
    <w:p w:rsidR="002303AF" w:rsidRPr="004069AB" w:rsidRDefault="004069AB" w:rsidP="00FB1E34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  <w:r>
        <w:rPr>
          <w:rFonts w:eastAsiaTheme="minorEastAsia" w:cstheme="minorHAnsi"/>
          <w:kern w:val="24"/>
          <w:sz w:val="24"/>
          <w:szCs w:val="24"/>
        </w:rPr>
        <w:t>Identifier 3 personnes (ex : élu, technicien, représentant de la société civile) qui participeront aux ateliers inter-territoires.</w:t>
      </w:r>
    </w:p>
    <w:p w:rsidR="004069AB" w:rsidRPr="004069AB" w:rsidRDefault="004069AB" w:rsidP="004069AB">
      <w:pPr>
        <w:pStyle w:val="Paragraphedeliste"/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4"/>
          <w:szCs w:val="24"/>
        </w:rPr>
      </w:pPr>
    </w:p>
    <w:p w:rsidR="00FB1E34" w:rsidRDefault="00FB1E34" w:rsidP="00FB1E34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  <w:r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Questions pratiques :</w:t>
      </w:r>
    </w:p>
    <w:p w:rsidR="00315FAC" w:rsidRPr="00FC4175" w:rsidRDefault="00315FAC" w:rsidP="00315FAC">
      <w:pPr>
        <w:pStyle w:val="Paragraphedeliste"/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</w:p>
    <w:p w:rsidR="00FB1E34" w:rsidRPr="00315FAC" w:rsidRDefault="00D2479B" w:rsidP="00315FAC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rFonts w:eastAsiaTheme="minorEastAsia" w:cstheme="minorHAnsi"/>
          <w:kern w:val="24"/>
          <w:sz w:val="24"/>
          <w:szCs w:val="24"/>
        </w:rPr>
      </w:pPr>
      <w:r w:rsidRPr="00315FAC">
        <w:rPr>
          <w:rFonts w:eastAsiaTheme="minorEastAsia" w:cstheme="minorHAnsi"/>
          <w:kern w:val="24"/>
          <w:sz w:val="24"/>
          <w:szCs w:val="24"/>
        </w:rPr>
        <w:t>Ecoute territoriale : l</w:t>
      </w:r>
      <w:r w:rsidR="004069AB" w:rsidRPr="00315FAC">
        <w:rPr>
          <w:rFonts w:eastAsiaTheme="minorEastAsia" w:cstheme="minorHAnsi"/>
          <w:kern w:val="24"/>
          <w:sz w:val="24"/>
          <w:szCs w:val="24"/>
        </w:rPr>
        <w:t>es déplacements</w:t>
      </w:r>
      <w:r w:rsidRPr="00315FAC">
        <w:rPr>
          <w:rFonts w:eastAsiaTheme="minorEastAsia" w:cstheme="minorHAnsi"/>
          <w:kern w:val="24"/>
          <w:sz w:val="24"/>
          <w:szCs w:val="24"/>
        </w:rPr>
        <w:t>, repas</w:t>
      </w:r>
      <w:r w:rsidR="004069AB" w:rsidRPr="00315FAC">
        <w:rPr>
          <w:rFonts w:eastAsiaTheme="minorEastAsia" w:cstheme="minorHAnsi"/>
          <w:kern w:val="24"/>
          <w:sz w:val="24"/>
          <w:szCs w:val="24"/>
        </w:rPr>
        <w:t xml:space="preserve"> et hébergements </w:t>
      </w:r>
      <w:r w:rsidRPr="00315FAC">
        <w:rPr>
          <w:rFonts w:eastAsiaTheme="minorEastAsia" w:cstheme="minorHAnsi"/>
          <w:kern w:val="24"/>
          <w:sz w:val="24"/>
          <w:szCs w:val="24"/>
        </w:rPr>
        <w:t>des binômes d’experts sont pris en charge par les organisateurs.</w:t>
      </w:r>
    </w:p>
    <w:p w:rsidR="00FB1E34" w:rsidRDefault="00D2479B" w:rsidP="00D2479B">
      <w:pPr>
        <w:pStyle w:val="Paragraphedeliste"/>
        <w:numPr>
          <w:ilvl w:val="0"/>
          <w:numId w:val="8"/>
        </w:numPr>
        <w:tabs>
          <w:tab w:val="left" w:pos="3544"/>
        </w:tabs>
        <w:jc w:val="both"/>
        <w:rPr>
          <w:rFonts w:eastAsiaTheme="minorEastAsia" w:cstheme="minorHAnsi"/>
          <w:kern w:val="24"/>
          <w:sz w:val="24"/>
          <w:szCs w:val="24"/>
        </w:rPr>
      </w:pPr>
      <w:r>
        <w:rPr>
          <w:rFonts w:eastAsiaTheme="minorEastAsia" w:cstheme="minorHAnsi"/>
          <w:kern w:val="24"/>
          <w:sz w:val="24"/>
          <w:szCs w:val="24"/>
        </w:rPr>
        <w:t xml:space="preserve">Séminaires de restitution et ateliers inter-territoires : les frais de déplacement et les repas des </w:t>
      </w:r>
      <w:r w:rsidR="00265E77">
        <w:rPr>
          <w:rFonts w:eastAsiaTheme="minorEastAsia" w:cstheme="minorHAnsi"/>
          <w:kern w:val="24"/>
          <w:sz w:val="24"/>
          <w:szCs w:val="24"/>
        </w:rPr>
        <w:t>représentants des territoires (</w:t>
      </w:r>
      <w:r>
        <w:rPr>
          <w:rFonts w:eastAsiaTheme="minorEastAsia" w:cstheme="minorHAnsi"/>
          <w:kern w:val="24"/>
          <w:sz w:val="24"/>
          <w:szCs w:val="24"/>
        </w:rPr>
        <w:t>3 par territoire) seront pris en charge par les organisateurs.</w:t>
      </w:r>
    </w:p>
    <w:p w:rsidR="00315FAC" w:rsidRPr="00D2479B" w:rsidRDefault="00315FAC" w:rsidP="00315FAC">
      <w:pPr>
        <w:pStyle w:val="Paragraphedeliste"/>
        <w:tabs>
          <w:tab w:val="left" w:pos="3544"/>
        </w:tabs>
        <w:jc w:val="both"/>
        <w:rPr>
          <w:rFonts w:eastAsiaTheme="minorEastAsia" w:cstheme="minorHAnsi"/>
          <w:kern w:val="24"/>
          <w:sz w:val="24"/>
          <w:szCs w:val="24"/>
        </w:rPr>
      </w:pPr>
    </w:p>
    <w:p w:rsidR="00D41ECD" w:rsidRPr="00FC4175" w:rsidRDefault="00FB1E34" w:rsidP="002303AF">
      <w:pPr>
        <w:pStyle w:val="Paragraphedeliste"/>
        <w:numPr>
          <w:ilvl w:val="0"/>
          <w:numId w:val="1"/>
        </w:numPr>
        <w:tabs>
          <w:tab w:val="left" w:pos="3544"/>
        </w:tabs>
        <w:jc w:val="both"/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</w:pPr>
      <w:r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Contacts</w:t>
      </w:r>
      <w:r w:rsidR="00D41ECD" w:rsidRPr="00FC4175">
        <w:rPr>
          <w:rFonts w:eastAsiaTheme="minorEastAsia" w:cstheme="minorHAnsi"/>
          <w:b/>
          <w:color w:val="E36C0A" w:themeColor="accent6" w:themeShade="BF"/>
          <w:kern w:val="24"/>
          <w:sz w:val="28"/>
          <w:szCs w:val="28"/>
        </w:rPr>
        <w:t> :</w:t>
      </w:r>
    </w:p>
    <w:p w:rsidR="00D41ECD" w:rsidRPr="00D41ECD" w:rsidRDefault="00D41ECD" w:rsidP="00D41ECD">
      <w:pPr>
        <w:pStyle w:val="Pieddepage"/>
        <w:numPr>
          <w:ilvl w:val="0"/>
          <w:numId w:val="6"/>
        </w:numPr>
        <w:jc w:val="both"/>
        <w:rPr>
          <w:rFonts w:eastAsiaTheme="majorEastAsia" w:cstheme="minorHAnsi"/>
        </w:rPr>
      </w:pPr>
      <w:r w:rsidRPr="00D41ECD">
        <w:rPr>
          <w:rFonts w:eastAsiaTheme="minorEastAsia" w:cstheme="minorHAnsi"/>
          <w:kern w:val="24"/>
        </w:rPr>
        <w:t xml:space="preserve">Stéphane </w:t>
      </w:r>
      <w:proofErr w:type="spellStart"/>
      <w:r w:rsidRPr="00D41ECD">
        <w:rPr>
          <w:rFonts w:eastAsiaTheme="minorEastAsia" w:cstheme="minorHAnsi"/>
          <w:kern w:val="24"/>
        </w:rPr>
        <w:t>Loukianoff</w:t>
      </w:r>
      <w:proofErr w:type="spellEnd"/>
      <w:r w:rsidRPr="00D41ECD">
        <w:rPr>
          <w:rFonts w:eastAsiaTheme="minorEastAsia" w:cstheme="minorHAnsi"/>
          <w:kern w:val="24"/>
        </w:rPr>
        <w:t xml:space="preserve"> </w:t>
      </w:r>
      <w:r>
        <w:rPr>
          <w:rFonts w:eastAsiaTheme="minorEastAsia" w:cstheme="minorHAnsi"/>
          <w:kern w:val="24"/>
        </w:rPr>
        <w:t xml:space="preserve">- </w:t>
      </w:r>
      <w:r w:rsidRPr="00D41ECD">
        <w:rPr>
          <w:rFonts w:eastAsiaTheme="majorEastAsia" w:cstheme="minorHAnsi"/>
        </w:rPr>
        <w:t>UNADEL – 150/154 rue du Faubourg Saint Martin – 7</w:t>
      </w:r>
      <w:r>
        <w:rPr>
          <w:rFonts w:eastAsiaTheme="majorEastAsia" w:cstheme="minorHAnsi"/>
        </w:rPr>
        <w:t xml:space="preserve">5010 Paris –www.unadel.asso.fr - </w:t>
      </w:r>
      <w:r w:rsidRPr="00D41ECD">
        <w:rPr>
          <w:rFonts w:eastAsiaTheme="majorEastAsia" w:cstheme="minorHAnsi"/>
        </w:rPr>
        <w:t xml:space="preserve"> 01 45 75 91 55</w:t>
      </w:r>
    </w:p>
    <w:p w:rsidR="00D41ECD" w:rsidRPr="00D41ECD" w:rsidRDefault="00D41ECD" w:rsidP="00D41ECD">
      <w:pPr>
        <w:pStyle w:val="Paragraphedeliste"/>
        <w:numPr>
          <w:ilvl w:val="0"/>
          <w:numId w:val="6"/>
        </w:numPr>
        <w:tabs>
          <w:tab w:val="left" w:pos="3544"/>
        </w:tabs>
        <w:jc w:val="both"/>
        <w:rPr>
          <w:rFonts w:eastAsiaTheme="minorEastAsia" w:cstheme="minorHAnsi"/>
          <w:kern w:val="24"/>
        </w:rPr>
      </w:pPr>
      <w:r>
        <w:rPr>
          <w:rFonts w:eastAsiaTheme="majorEastAsia" w:cstheme="minorHAnsi"/>
        </w:rPr>
        <w:t xml:space="preserve">Vincent </w:t>
      </w:r>
      <w:proofErr w:type="spellStart"/>
      <w:r>
        <w:rPr>
          <w:rFonts w:eastAsiaTheme="majorEastAsia" w:cstheme="minorHAnsi"/>
        </w:rPr>
        <w:t>Chassagne</w:t>
      </w:r>
      <w:proofErr w:type="spellEnd"/>
      <w:r>
        <w:rPr>
          <w:rFonts w:eastAsiaTheme="majorEastAsia" w:cstheme="minorHAnsi"/>
        </w:rPr>
        <w:t xml:space="preserve"> - </w:t>
      </w:r>
      <w:r w:rsidRPr="00D41ECD">
        <w:rPr>
          <w:rFonts w:eastAsiaTheme="majorEastAsia" w:cstheme="minorHAnsi"/>
        </w:rPr>
        <w:t xml:space="preserve">Mairie-Conseils – 72, avenue Pierre Mendès France – 75013 Paris - </w:t>
      </w:r>
      <w:hyperlink r:id="rId11" w:tgtFrame="_blank" w:history="1">
        <w:r w:rsidRPr="00D41ECD">
          <w:rPr>
            <w:rFonts w:eastAsia="Times New Roman" w:cstheme="minorHAnsi"/>
            <w:iCs/>
          </w:rPr>
          <w:t>www.mairieconseils.net</w:t>
        </w:r>
      </w:hyperlink>
      <w:r w:rsidRPr="00D41ECD">
        <w:rPr>
          <w:rFonts w:eastAsiaTheme="majorEastAsia" w:cstheme="minorHAnsi"/>
        </w:rPr>
        <w:t xml:space="preserve"> – 01 58 50 01 01</w:t>
      </w:r>
      <w:r w:rsidRPr="00D41ECD">
        <w:ptab w:relativeTo="margin" w:alignment="right" w:leader="none"/>
      </w:r>
    </w:p>
    <w:p w:rsidR="00FB1E34" w:rsidRPr="00FB1E34" w:rsidRDefault="00FB1E34" w:rsidP="00FB1E34">
      <w:pPr>
        <w:tabs>
          <w:tab w:val="left" w:pos="3544"/>
        </w:tabs>
        <w:ind w:left="360"/>
        <w:jc w:val="both"/>
        <w:rPr>
          <w:rFonts w:cstheme="minorHAnsi"/>
          <w:b/>
          <w:sz w:val="24"/>
          <w:szCs w:val="24"/>
        </w:rPr>
      </w:pPr>
    </w:p>
    <w:p w:rsidR="00FB1E34" w:rsidRDefault="00FB1E34"/>
    <w:sectPr w:rsidR="00FB1E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36" w:rsidRDefault="00E45936" w:rsidP="00FB1E34">
      <w:pPr>
        <w:spacing w:after="0" w:line="240" w:lineRule="auto"/>
      </w:pPr>
      <w:r>
        <w:separator/>
      </w:r>
    </w:p>
  </w:endnote>
  <w:endnote w:type="continuationSeparator" w:id="0">
    <w:p w:rsidR="00E45936" w:rsidRDefault="00E45936" w:rsidP="00FB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B" w:rsidRDefault="004069A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A0" w:rsidRDefault="00CE7CA0" w:rsidP="00CE7CA0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UNADEL – 150/154 rue du Faubourg Saint Martin – 75010 Paris –www.unadel.asso.fr – 01 45 75 91 55</w:t>
    </w:r>
  </w:p>
  <w:p w:rsidR="00CE7CA0" w:rsidRDefault="00CE7CA0" w:rsidP="00CE7CA0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Mairie-Conseils – </w:t>
    </w:r>
    <w:r>
      <w:rPr>
        <w:rFonts w:asciiTheme="majorHAnsi" w:eastAsiaTheme="majorEastAsia" w:hAnsiTheme="majorHAnsi" w:cstheme="minorHAnsi"/>
        <w:sz w:val="18"/>
        <w:szCs w:val="18"/>
      </w:rPr>
      <w:t xml:space="preserve">72, avenue Pierre Mendès France – 75013 Paris - </w:t>
    </w:r>
    <w:hyperlink r:id="rId1" w:tgtFrame="_blank" w:history="1">
      <w:r>
        <w:rPr>
          <w:rStyle w:val="Lienhypertexte"/>
          <w:rFonts w:asciiTheme="majorHAnsi" w:eastAsia="Times New Roman" w:hAnsiTheme="majorHAnsi" w:cs="Arial"/>
          <w:iCs/>
          <w:sz w:val="18"/>
          <w:szCs w:val="18"/>
        </w:rPr>
        <w:t>www.mairieconseils.net</w:t>
      </w:r>
    </w:hyperlink>
    <w:r>
      <w:rPr>
        <w:rFonts w:asciiTheme="majorHAnsi" w:eastAsiaTheme="majorEastAsia" w:hAnsiTheme="majorHAnsi" w:cstheme="minorHAnsi"/>
        <w:sz w:val="18"/>
        <w:szCs w:val="18"/>
      </w:rPr>
      <w:t xml:space="preserve"> – 01 58 50 01</w:t>
    </w:r>
    <w:r w:rsidR="00113183">
      <w:rPr>
        <w:rFonts w:asciiTheme="majorHAnsi" w:eastAsiaTheme="majorEastAsia" w:hAnsiTheme="majorHAnsi" w:cstheme="minorHAnsi"/>
        <w:sz w:val="18"/>
        <w:szCs w:val="18"/>
      </w:rPr>
      <w:t xml:space="preserve"> 01</w:t>
    </w:r>
    <w:r>
      <w:rPr>
        <w:rFonts w:asciiTheme="majorHAnsi" w:eastAsiaTheme="majorEastAsia" w:hAnsiTheme="majorHAnsi" w:cstheme="minorHAnsi"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D3812" w:rsidRPr="00FD381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FB1E34" w:rsidRDefault="00FB1E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B" w:rsidRDefault="004069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36" w:rsidRDefault="00E45936" w:rsidP="00FB1E34">
      <w:pPr>
        <w:spacing w:after="0" w:line="240" w:lineRule="auto"/>
      </w:pPr>
      <w:r>
        <w:separator/>
      </w:r>
    </w:p>
  </w:footnote>
  <w:footnote w:type="continuationSeparator" w:id="0">
    <w:p w:rsidR="00E45936" w:rsidRDefault="00E45936" w:rsidP="00FB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B" w:rsidRDefault="004069A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B" w:rsidRDefault="004069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AB" w:rsidRDefault="004069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1EBD"/>
    <w:multiLevelType w:val="hybridMultilevel"/>
    <w:tmpl w:val="477CEAEC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32E8"/>
    <w:multiLevelType w:val="hybridMultilevel"/>
    <w:tmpl w:val="56B6FEE6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F19F3"/>
    <w:multiLevelType w:val="hybridMultilevel"/>
    <w:tmpl w:val="6C1CC66E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3E80"/>
    <w:multiLevelType w:val="hybridMultilevel"/>
    <w:tmpl w:val="F84C17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31394E"/>
    <w:multiLevelType w:val="hybridMultilevel"/>
    <w:tmpl w:val="35964D4A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C4F33"/>
    <w:multiLevelType w:val="hybridMultilevel"/>
    <w:tmpl w:val="6E6E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1088"/>
    <w:multiLevelType w:val="hybridMultilevel"/>
    <w:tmpl w:val="BDC010D8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5B9E"/>
    <w:multiLevelType w:val="hybridMultilevel"/>
    <w:tmpl w:val="1884E7EA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34"/>
    <w:rsid w:val="000368B5"/>
    <w:rsid w:val="00060FBC"/>
    <w:rsid w:val="000979E5"/>
    <w:rsid w:val="000F13B7"/>
    <w:rsid w:val="00113183"/>
    <w:rsid w:val="0012795F"/>
    <w:rsid w:val="002303AF"/>
    <w:rsid w:val="002539DB"/>
    <w:rsid w:val="00265E77"/>
    <w:rsid w:val="00315FAC"/>
    <w:rsid w:val="00323C44"/>
    <w:rsid w:val="004069AB"/>
    <w:rsid w:val="00521556"/>
    <w:rsid w:val="006626EA"/>
    <w:rsid w:val="00707281"/>
    <w:rsid w:val="008663DD"/>
    <w:rsid w:val="008B242F"/>
    <w:rsid w:val="00A93336"/>
    <w:rsid w:val="00C47EAA"/>
    <w:rsid w:val="00CE7CA0"/>
    <w:rsid w:val="00D2479B"/>
    <w:rsid w:val="00D41ECD"/>
    <w:rsid w:val="00D56BF1"/>
    <w:rsid w:val="00E45936"/>
    <w:rsid w:val="00FB1E34"/>
    <w:rsid w:val="00FC4175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E34"/>
  </w:style>
  <w:style w:type="paragraph" w:styleId="Pieddepage">
    <w:name w:val="footer"/>
    <w:basedOn w:val="Normal"/>
    <w:link w:val="PieddepageCar"/>
    <w:uiPriority w:val="99"/>
    <w:unhideWhenUsed/>
    <w:rsid w:val="00FB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E34"/>
  </w:style>
  <w:style w:type="character" w:styleId="Marquedecommentaire">
    <w:name w:val="annotation reference"/>
    <w:basedOn w:val="Policepardfaut"/>
    <w:uiPriority w:val="99"/>
    <w:semiHidden/>
    <w:unhideWhenUsed/>
    <w:rsid w:val="00406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69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69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9A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E7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E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E34"/>
  </w:style>
  <w:style w:type="paragraph" w:styleId="Pieddepage">
    <w:name w:val="footer"/>
    <w:basedOn w:val="Normal"/>
    <w:link w:val="PieddepageCar"/>
    <w:uiPriority w:val="99"/>
    <w:unhideWhenUsed/>
    <w:rsid w:val="00FB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E34"/>
  </w:style>
  <w:style w:type="character" w:styleId="Marquedecommentaire">
    <w:name w:val="annotation reference"/>
    <w:basedOn w:val="Policepardfaut"/>
    <w:uiPriority w:val="99"/>
    <w:semiHidden/>
    <w:unhideWhenUsed/>
    <w:rsid w:val="00406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69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69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9A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E7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rieconseils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rieconseils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3</cp:revision>
  <dcterms:created xsi:type="dcterms:W3CDTF">2014-12-12T14:42:00Z</dcterms:created>
  <dcterms:modified xsi:type="dcterms:W3CDTF">2014-12-12T15:01:00Z</dcterms:modified>
</cp:coreProperties>
</file>